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FAD2763" w:rsidR="00CD4C7B" w:rsidRPr="00CE1280" w:rsidRDefault="00CD4C7B" w:rsidP="00CD4C7B">
      <w:pPr>
        <w:pStyle w:val="Header"/>
        <w:tabs>
          <w:tab w:val="right" w:pos="9639"/>
        </w:tabs>
        <w:rPr>
          <w:bCs/>
          <w:i/>
          <w:noProof w:val="0"/>
          <w:sz w:val="24"/>
          <w:szCs w:val="24"/>
          <w:lang w:val="en-US"/>
        </w:rPr>
      </w:pPr>
      <w:r w:rsidRPr="00CE1280">
        <w:rPr>
          <w:bCs/>
          <w:noProof w:val="0"/>
          <w:sz w:val="24"/>
          <w:szCs w:val="24"/>
          <w:lang w:val="en-US"/>
        </w:rPr>
        <w:t>3GPP T</w:t>
      </w:r>
      <w:bookmarkStart w:id="0" w:name="_Ref452454252"/>
      <w:bookmarkEnd w:id="0"/>
      <w:r w:rsidRPr="00CE1280">
        <w:rPr>
          <w:bCs/>
          <w:noProof w:val="0"/>
          <w:sz w:val="24"/>
          <w:szCs w:val="24"/>
          <w:lang w:val="en-US"/>
        </w:rPr>
        <w:t xml:space="preserve">SG-RAN </w:t>
      </w:r>
      <w:r w:rsidR="00936071" w:rsidRPr="00CE1280">
        <w:rPr>
          <w:noProof w:val="0"/>
          <w:sz w:val="24"/>
          <w:szCs w:val="24"/>
          <w:lang w:val="en-US"/>
        </w:rPr>
        <w:t xml:space="preserve">WG2 </w:t>
      </w:r>
      <w:r w:rsidR="00786399" w:rsidRPr="00CE1280">
        <w:rPr>
          <w:noProof w:val="0"/>
          <w:sz w:val="24"/>
          <w:szCs w:val="24"/>
          <w:lang w:val="en-US"/>
        </w:rPr>
        <w:t xml:space="preserve">NR Adhoc </w:t>
      </w:r>
      <w:r w:rsidR="00A22988">
        <w:rPr>
          <w:noProof w:val="0"/>
          <w:sz w:val="24"/>
          <w:szCs w:val="24"/>
          <w:lang w:val="en-US"/>
        </w:rPr>
        <w:t>1801</w:t>
      </w:r>
      <w:r w:rsidRPr="00CE1280">
        <w:rPr>
          <w:bCs/>
          <w:noProof w:val="0"/>
          <w:sz w:val="24"/>
          <w:szCs w:val="24"/>
          <w:lang w:val="en-US"/>
        </w:rPr>
        <w:tab/>
      </w:r>
      <w:r w:rsidR="00972F4C" w:rsidRPr="00972F4C">
        <w:rPr>
          <w:bCs/>
          <w:noProof w:val="0"/>
          <w:sz w:val="24"/>
          <w:szCs w:val="24"/>
          <w:lang w:val="en-US"/>
        </w:rPr>
        <w:t>R2-1800390</w:t>
      </w:r>
    </w:p>
    <w:p w14:paraId="231362B2" w14:textId="3725CDC8" w:rsidR="00CD4C7B" w:rsidRPr="00CE1280" w:rsidRDefault="00786399" w:rsidP="00CD4C7B">
      <w:pPr>
        <w:pStyle w:val="Header"/>
        <w:tabs>
          <w:tab w:val="right" w:pos="9639"/>
        </w:tabs>
        <w:rPr>
          <w:bCs/>
          <w:noProof w:val="0"/>
          <w:sz w:val="24"/>
          <w:szCs w:val="24"/>
          <w:lang w:val="en-US"/>
        </w:rPr>
      </w:pPr>
      <w:r w:rsidRPr="00CE1280">
        <w:rPr>
          <w:rFonts w:eastAsia="SimSun"/>
          <w:noProof w:val="0"/>
          <w:sz w:val="24"/>
          <w:szCs w:val="24"/>
          <w:lang w:val="en-US" w:eastAsia="zh-CN"/>
        </w:rPr>
        <w:t>Vancouver</w:t>
      </w:r>
      <w:r w:rsidR="00C24650" w:rsidRPr="00CE1280">
        <w:rPr>
          <w:rFonts w:eastAsia="SimSun"/>
          <w:noProof w:val="0"/>
          <w:sz w:val="24"/>
          <w:szCs w:val="24"/>
          <w:lang w:val="en-US" w:eastAsia="zh-CN"/>
        </w:rPr>
        <w:t xml:space="preserve">, </w:t>
      </w:r>
      <w:r w:rsidRPr="00CE1280">
        <w:rPr>
          <w:rFonts w:eastAsia="SimSun"/>
          <w:noProof w:val="0"/>
          <w:sz w:val="24"/>
          <w:szCs w:val="24"/>
          <w:lang w:val="en-US" w:eastAsia="zh-CN"/>
        </w:rPr>
        <w:t>Canada</w:t>
      </w:r>
      <w:r w:rsidR="00C24650" w:rsidRPr="00CE1280">
        <w:rPr>
          <w:rFonts w:eastAsia="SimSun"/>
          <w:noProof w:val="0"/>
          <w:sz w:val="24"/>
          <w:szCs w:val="24"/>
          <w:lang w:val="en-US" w:eastAsia="zh-CN"/>
        </w:rPr>
        <w:t xml:space="preserve">, </w:t>
      </w:r>
      <w:r w:rsidRPr="00CE1280">
        <w:rPr>
          <w:rFonts w:eastAsia="SimSun"/>
          <w:noProof w:val="0"/>
          <w:sz w:val="24"/>
          <w:szCs w:val="24"/>
          <w:lang w:val="en-US" w:eastAsia="zh-CN"/>
        </w:rPr>
        <w:t>22</w:t>
      </w:r>
      <w:r w:rsidR="00C92967" w:rsidRPr="00CE1280">
        <w:rPr>
          <w:rFonts w:eastAsia="SimSun"/>
          <w:noProof w:val="0"/>
          <w:sz w:val="24"/>
          <w:szCs w:val="24"/>
          <w:lang w:val="en-US" w:eastAsia="zh-CN"/>
        </w:rPr>
        <w:t xml:space="preserve"> - </w:t>
      </w:r>
      <w:r w:rsidRPr="00CE1280">
        <w:rPr>
          <w:rFonts w:eastAsia="SimSun"/>
          <w:noProof w:val="0"/>
          <w:sz w:val="24"/>
          <w:szCs w:val="24"/>
          <w:lang w:val="en-US" w:eastAsia="zh-CN"/>
        </w:rPr>
        <w:t>26</w:t>
      </w:r>
      <w:r w:rsidR="00C92967" w:rsidRPr="00CE1280">
        <w:rPr>
          <w:rFonts w:eastAsia="SimSun"/>
          <w:noProof w:val="0"/>
          <w:sz w:val="24"/>
          <w:szCs w:val="24"/>
          <w:lang w:val="en-US" w:eastAsia="zh-CN"/>
        </w:rPr>
        <w:t xml:space="preserve"> </w:t>
      </w:r>
      <w:r w:rsidR="00112F1A" w:rsidRPr="00CE1280">
        <w:rPr>
          <w:rFonts w:eastAsia="SimSun"/>
          <w:noProof w:val="0"/>
          <w:sz w:val="24"/>
          <w:szCs w:val="24"/>
          <w:lang w:val="en-US" w:eastAsia="zh-CN"/>
        </w:rPr>
        <w:t>J</w:t>
      </w:r>
      <w:r w:rsidRPr="00CE1280">
        <w:rPr>
          <w:rFonts w:eastAsia="SimSun"/>
          <w:noProof w:val="0"/>
          <w:sz w:val="24"/>
          <w:szCs w:val="24"/>
          <w:lang w:val="en-US" w:eastAsia="zh-CN"/>
        </w:rPr>
        <w:t>anuary</w:t>
      </w:r>
      <w:r w:rsidR="00813245" w:rsidRPr="00CE1280">
        <w:rPr>
          <w:rFonts w:eastAsia="SimSun"/>
          <w:noProof w:val="0"/>
          <w:sz w:val="24"/>
          <w:szCs w:val="24"/>
          <w:lang w:val="en-US" w:eastAsia="zh-CN"/>
        </w:rPr>
        <w:t xml:space="preserve"> </w:t>
      </w:r>
      <w:r w:rsidR="00C24650" w:rsidRPr="00CE1280">
        <w:rPr>
          <w:rFonts w:eastAsia="SimSun"/>
          <w:noProof w:val="0"/>
          <w:sz w:val="24"/>
          <w:szCs w:val="24"/>
          <w:lang w:val="en-US" w:eastAsia="zh-CN"/>
        </w:rPr>
        <w:t>201</w:t>
      </w:r>
      <w:r w:rsidRPr="00CE1280">
        <w:rPr>
          <w:rFonts w:eastAsia="SimSun"/>
          <w:noProof w:val="0"/>
          <w:sz w:val="24"/>
          <w:szCs w:val="24"/>
          <w:lang w:val="en-US" w:eastAsia="zh-CN"/>
        </w:rPr>
        <w:t>8</w:t>
      </w:r>
    </w:p>
    <w:p w14:paraId="39BE00F6" w14:textId="77777777" w:rsidR="00CD4C7B" w:rsidRPr="00CE1280" w:rsidRDefault="00CD4C7B" w:rsidP="00CD4C7B">
      <w:pPr>
        <w:pStyle w:val="Header"/>
        <w:rPr>
          <w:bCs/>
          <w:noProof w:val="0"/>
          <w:sz w:val="24"/>
          <w:lang w:val="en-US"/>
        </w:rPr>
      </w:pPr>
    </w:p>
    <w:p w14:paraId="49379CFB" w14:textId="77777777" w:rsidR="00CD4C7B" w:rsidRPr="00CE1280" w:rsidRDefault="00CD4C7B" w:rsidP="00CD4C7B">
      <w:pPr>
        <w:pStyle w:val="Header"/>
        <w:rPr>
          <w:bCs/>
          <w:noProof w:val="0"/>
          <w:sz w:val="24"/>
          <w:lang w:val="en-US"/>
        </w:rPr>
      </w:pPr>
    </w:p>
    <w:p w14:paraId="758E2B30" w14:textId="2B59DEC9" w:rsidR="00CD4C7B" w:rsidRPr="00CE1280" w:rsidRDefault="00CD4C7B" w:rsidP="00CD4C7B">
      <w:pPr>
        <w:pStyle w:val="CRCoverPage"/>
        <w:tabs>
          <w:tab w:val="left" w:pos="1985"/>
        </w:tabs>
        <w:rPr>
          <w:rFonts w:cs="Arial"/>
          <w:b/>
          <w:bCs/>
          <w:sz w:val="24"/>
          <w:lang w:val="en-US" w:eastAsia="ja-JP"/>
        </w:rPr>
      </w:pPr>
      <w:r w:rsidRPr="00CE1280">
        <w:rPr>
          <w:rFonts w:cs="Arial"/>
          <w:b/>
          <w:bCs/>
          <w:sz w:val="24"/>
          <w:lang w:val="en-US"/>
        </w:rPr>
        <w:t>Agenda item:</w:t>
      </w:r>
      <w:r w:rsidRPr="00CE1280">
        <w:rPr>
          <w:rFonts w:cs="Arial"/>
          <w:b/>
          <w:bCs/>
          <w:sz w:val="24"/>
          <w:lang w:val="en-US"/>
        </w:rPr>
        <w:tab/>
      </w:r>
      <w:r w:rsidR="00FA2132">
        <w:rPr>
          <w:rFonts w:cs="Arial"/>
          <w:b/>
          <w:bCs/>
          <w:sz w:val="24"/>
          <w:lang w:val="en-US"/>
        </w:rPr>
        <w:t>11.1</w:t>
      </w:r>
    </w:p>
    <w:p w14:paraId="6A1BC0C1" w14:textId="4B2EA55D" w:rsidR="00CD4C7B" w:rsidRPr="00CE1280" w:rsidRDefault="00CD4C7B" w:rsidP="00CD4C7B">
      <w:pPr>
        <w:tabs>
          <w:tab w:val="left" w:pos="1985"/>
        </w:tabs>
        <w:ind w:left="1985" w:hanging="1985"/>
        <w:rPr>
          <w:rFonts w:ascii="Arial" w:hAnsi="Arial" w:cs="Arial"/>
          <w:b/>
          <w:bCs/>
          <w:sz w:val="24"/>
        </w:rPr>
      </w:pPr>
      <w:r w:rsidRPr="00CE1280">
        <w:rPr>
          <w:rFonts w:ascii="Arial" w:hAnsi="Arial" w:cs="Arial"/>
          <w:b/>
          <w:bCs/>
          <w:sz w:val="24"/>
        </w:rPr>
        <w:t>Source:</w:t>
      </w:r>
      <w:r w:rsidRPr="00CE1280">
        <w:rPr>
          <w:rFonts w:ascii="Arial" w:hAnsi="Arial" w:cs="Arial"/>
          <w:b/>
          <w:bCs/>
          <w:sz w:val="24"/>
        </w:rPr>
        <w:tab/>
      </w:r>
      <w:r w:rsidR="001741A0" w:rsidRPr="00CE1280">
        <w:rPr>
          <w:rFonts w:ascii="Arial" w:hAnsi="Arial" w:cs="Arial"/>
          <w:b/>
          <w:bCs/>
          <w:sz w:val="24"/>
        </w:rPr>
        <w:t>Nokia</w:t>
      </w:r>
      <w:r w:rsidR="00090468" w:rsidRPr="00CE1280">
        <w:rPr>
          <w:rFonts w:ascii="Arial" w:hAnsi="Arial" w:cs="Arial"/>
          <w:b/>
          <w:bCs/>
          <w:sz w:val="24"/>
        </w:rPr>
        <w:t xml:space="preserve">, </w:t>
      </w:r>
      <w:r w:rsidR="00786399" w:rsidRPr="00CE1280">
        <w:rPr>
          <w:rFonts w:ascii="Arial" w:hAnsi="Arial" w:cs="Arial"/>
          <w:b/>
          <w:bCs/>
          <w:sz w:val="24"/>
        </w:rPr>
        <w:t>Nokia</w:t>
      </w:r>
      <w:r w:rsidR="00090468" w:rsidRPr="00CE1280">
        <w:rPr>
          <w:rFonts w:ascii="Arial" w:hAnsi="Arial" w:cs="Arial"/>
          <w:b/>
          <w:bCs/>
          <w:sz w:val="24"/>
        </w:rPr>
        <w:t xml:space="preserve"> Shanghai Bell</w:t>
      </w:r>
    </w:p>
    <w:p w14:paraId="45BE90BE" w14:textId="1B71DEEA" w:rsidR="00CD4C7B" w:rsidRPr="00CE1280" w:rsidRDefault="00CD4C7B" w:rsidP="00CD4C7B">
      <w:pPr>
        <w:ind w:left="1985" w:hanging="1985"/>
        <w:rPr>
          <w:rFonts w:ascii="Arial" w:hAnsi="Arial" w:cs="Arial"/>
          <w:b/>
          <w:bCs/>
          <w:sz w:val="24"/>
        </w:rPr>
      </w:pPr>
      <w:r w:rsidRPr="00CE1280">
        <w:rPr>
          <w:rFonts w:ascii="Arial" w:hAnsi="Arial" w:cs="Arial"/>
          <w:b/>
          <w:bCs/>
          <w:sz w:val="24"/>
        </w:rPr>
        <w:t>Title:</w:t>
      </w:r>
      <w:r w:rsidRPr="00CE1280">
        <w:rPr>
          <w:rFonts w:ascii="Arial" w:hAnsi="Arial" w:cs="Arial"/>
          <w:b/>
          <w:bCs/>
          <w:sz w:val="24"/>
        </w:rPr>
        <w:tab/>
      </w:r>
      <w:r w:rsidR="00CF32B0" w:rsidRPr="00CE1280">
        <w:rPr>
          <w:rFonts w:ascii="Arial" w:hAnsi="Arial" w:cs="Arial"/>
          <w:b/>
          <w:bCs/>
          <w:sz w:val="24"/>
        </w:rPr>
        <w:t>IAB Deployment Scenarios</w:t>
      </w:r>
    </w:p>
    <w:p w14:paraId="3AC3A0B1" w14:textId="1ECB90FE" w:rsidR="00CD4C7B" w:rsidRPr="00CE1280" w:rsidRDefault="00CD4C7B" w:rsidP="00CD4C7B">
      <w:pPr>
        <w:ind w:left="1985" w:hanging="1985"/>
        <w:rPr>
          <w:rFonts w:ascii="Arial" w:hAnsi="Arial" w:cs="Arial"/>
          <w:b/>
          <w:bCs/>
          <w:sz w:val="24"/>
        </w:rPr>
      </w:pPr>
      <w:r w:rsidRPr="00CE1280">
        <w:rPr>
          <w:rFonts w:ascii="Arial" w:hAnsi="Arial" w:cs="Arial"/>
          <w:b/>
          <w:bCs/>
          <w:sz w:val="24"/>
        </w:rPr>
        <w:t>WID/SID:</w:t>
      </w:r>
      <w:r w:rsidRPr="00CE1280">
        <w:rPr>
          <w:rFonts w:ascii="Arial" w:hAnsi="Arial" w:cs="Arial"/>
          <w:b/>
          <w:bCs/>
          <w:sz w:val="24"/>
        </w:rPr>
        <w:tab/>
      </w:r>
      <w:r w:rsidR="00405CB0">
        <w:rPr>
          <w:rFonts w:ascii="Arial" w:hAnsi="Arial" w:cs="Arial"/>
          <w:b/>
          <w:bCs/>
          <w:sz w:val="24"/>
        </w:rPr>
        <w:t>FS</w:t>
      </w:r>
      <w:r w:rsidR="007010B4" w:rsidRPr="007010B4">
        <w:rPr>
          <w:rFonts w:ascii="Arial" w:hAnsi="Arial" w:cs="Arial"/>
          <w:b/>
          <w:bCs/>
          <w:sz w:val="24"/>
        </w:rPr>
        <w:t>_NR</w:t>
      </w:r>
      <w:r w:rsidR="00405CB0">
        <w:rPr>
          <w:rFonts w:ascii="Arial" w:hAnsi="Arial" w:cs="Arial"/>
          <w:b/>
          <w:bCs/>
          <w:sz w:val="24"/>
        </w:rPr>
        <w:t>_</w:t>
      </w:r>
      <w:bookmarkStart w:id="1" w:name="_GoBack"/>
      <w:bookmarkEnd w:id="1"/>
      <w:r w:rsidR="007010B4" w:rsidRPr="007010B4">
        <w:rPr>
          <w:rFonts w:ascii="Arial" w:hAnsi="Arial" w:cs="Arial"/>
          <w:b/>
          <w:bCs/>
          <w:sz w:val="24"/>
        </w:rPr>
        <w:t>IAB</w:t>
      </w:r>
      <w:r w:rsidR="00112F1A" w:rsidRPr="00CE1280">
        <w:rPr>
          <w:rFonts w:ascii="Arial" w:hAnsi="Arial" w:cs="Arial"/>
          <w:b/>
          <w:bCs/>
          <w:sz w:val="24"/>
        </w:rPr>
        <w:t xml:space="preserve"> </w:t>
      </w:r>
      <w:r w:rsidR="00D80795" w:rsidRPr="00CE1280">
        <w:rPr>
          <w:rFonts w:ascii="Arial" w:hAnsi="Arial" w:cs="Arial"/>
          <w:b/>
          <w:bCs/>
          <w:sz w:val="24"/>
        </w:rPr>
        <w:t>-</w:t>
      </w:r>
      <w:r w:rsidRPr="00CE1280">
        <w:rPr>
          <w:rFonts w:ascii="Arial" w:hAnsi="Arial" w:cs="Arial"/>
          <w:b/>
          <w:bCs/>
          <w:sz w:val="24"/>
        </w:rPr>
        <w:t xml:space="preserve"> Release</w:t>
      </w:r>
      <w:r w:rsidR="00D80795" w:rsidRPr="00CE1280">
        <w:rPr>
          <w:rFonts w:ascii="Arial" w:hAnsi="Arial" w:cs="Arial"/>
          <w:b/>
          <w:bCs/>
          <w:sz w:val="24"/>
        </w:rPr>
        <w:t xml:space="preserve"> </w:t>
      </w:r>
      <w:r w:rsidR="00970DB3" w:rsidRPr="00CE1280">
        <w:rPr>
          <w:rFonts w:ascii="Arial" w:hAnsi="Arial" w:cs="Arial"/>
          <w:b/>
          <w:bCs/>
          <w:sz w:val="24"/>
        </w:rPr>
        <w:t>15</w:t>
      </w:r>
    </w:p>
    <w:p w14:paraId="7DF86DB4" w14:textId="77777777" w:rsidR="00CD4C7B" w:rsidRPr="00CE1280" w:rsidRDefault="00CD4C7B" w:rsidP="00CD4C7B">
      <w:pPr>
        <w:tabs>
          <w:tab w:val="left" w:pos="1985"/>
        </w:tabs>
        <w:rPr>
          <w:rFonts w:ascii="Arial" w:hAnsi="Arial" w:cs="Arial"/>
          <w:b/>
          <w:bCs/>
          <w:sz w:val="24"/>
        </w:rPr>
      </w:pPr>
      <w:r w:rsidRPr="00CE1280">
        <w:rPr>
          <w:rFonts w:ascii="Arial" w:hAnsi="Arial" w:cs="Arial"/>
          <w:b/>
          <w:bCs/>
          <w:sz w:val="24"/>
        </w:rPr>
        <w:t>Document for:</w:t>
      </w:r>
      <w:r w:rsidRPr="00CE1280">
        <w:rPr>
          <w:rFonts w:ascii="Arial" w:hAnsi="Arial" w:cs="Arial"/>
          <w:b/>
          <w:bCs/>
          <w:sz w:val="24"/>
        </w:rPr>
        <w:tab/>
        <w:t>Discussion and Decision</w:t>
      </w:r>
    </w:p>
    <w:p w14:paraId="3E959691" w14:textId="77777777" w:rsidR="00CD4C7B" w:rsidRPr="00CE1280" w:rsidRDefault="00CD4C7B" w:rsidP="00CD4C7B">
      <w:pPr>
        <w:pStyle w:val="Heading1"/>
        <w:rPr>
          <w:lang w:val="en-US"/>
        </w:rPr>
      </w:pPr>
      <w:r w:rsidRPr="00CE1280">
        <w:rPr>
          <w:lang w:val="en-US"/>
        </w:rPr>
        <w:t>1</w:t>
      </w:r>
      <w:r w:rsidRPr="00CE1280">
        <w:rPr>
          <w:lang w:val="en-US"/>
        </w:rPr>
        <w:tab/>
      </w:r>
      <w:r w:rsidR="0056573F" w:rsidRPr="00CE1280">
        <w:rPr>
          <w:lang w:val="en-US"/>
        </w:rPr>
        <w:t>Introduction</w:t>
      </w:r>
    </w:p>
    <w:p w14:paraId="0BBDFC0A" w14:textId="71123963" w:rsidR="00CD4C7B" w:rsidRPr="00CE1280" w:rsidRDefault="00B544CB" w:rsidP="00340E57">
      <w:pPr>
        <w:jc w:val="both"/>
      </w:pPr>
      <w:r w:rsidRPr="00CE1280">
        <w:t xml:space="preserve">The study of </w:t>
      </w:r>
      <w:r w:rsidR="003A45DF" w:rsidRPr="00CE1280">
        <w:t xml:space="preserve">Integrated Access and Backhaul (IAB) </w:t>
      </w:r>
      <w:r w:rsidRPr="00CE1280">
        <w:t xml:space="preserve">is essential component of NR deployments providing a </w:t>
      </w:r>
      <w:r w:rsidR="00B14469">
        <w:t>mechanism</w:t>
      </w:r>
      <w:r w:rsidRPr="00CE1280">
        <w:t xml:space="preserve"> </w:t>
      </w:r>
      <w:r w:rsidR="00B14469">
        <w:t xml:space="preserve">to achieve </w:t>
      </w:r>
      <w:r w:rsidRPr="00CE1280">
        <w:t>coverage reliability</w:t>
      </w:r>
      <w:r w:rsidR="00B14469">
        <w:t xml:space="preserve"> targets in</w:t>
      </w:r>
      <w:r w:rsidR="00D12CD9">
        <w:t xml:space="preserve"> the</w:t>
      </w:r>
      <w:r w:rsidR="00B14469">
        <w:t xml:space="preserve"> absence of </w:t>
      </w:r>
      <w:r w:rsidR="00E539C3">
        <w:t>available</w:t>
      </w:r>
      <w:r w:rsidR="00B14469">
        <w:t xml:space="preserve"> fiber</w:t>
      </w:r>
      <w:r w:rsidRPr="00CE1280">
        <w:t xml:space="preserve">.   This contribution will discuss various aspects of deployment scenarios including </w:t>
      </w:r>
      <w:r w:rsidR="00045009" w:rsidRPr="00CE1280">
        <w:t xml:space="preserve">IAB node </w:t>
      </w:r>
      <w:r w:rsidR="00E539C3">
        <w:t>utility</w:t>
      </w:r>
      <w:r w:rsidR="00045009" w:rsidRPr="00CE1280">
        <w:t>,</w:t>
      </w:r>
      <w:r w:rsidR="00D12CD9">
        <w:t xml:space="preserve"> </w:t>
      </w:r>
      <w:r w:rsidR="00045009" w:rsidRPr="00CE1280">
        <w:t xml:space="preserve">IAB node configuration and IAB spectrum use.   </w:t>
      </w:r>
    </w:p>
    <w:p w14:paraId="127ACA6D" w14:textId="204DFA7D" w:rsidR="00CD4C7B" w:rsidRPr="00CE1280" w:rsidRDefault="00CD4C7B" w:rsidP="00CD4C7B">
      <w:pPr>
        <w:pStyle w:val="Heading1"/>
        <w:rPr>
          <w:lang w:val="en-US"/>
        </w:rPr>
      </w:pPr>
      <w:r w:rsidRPr="00CE1280">
        <w:rPr>
          <w:lang w:val="en-US"/>
        </w:rPr>
        <w:t>2</w:t>
      </w:r>
      <w:r w:rsidRPr="00CE1280">
        <w:rPr>
          <w:lang w:val="en-US"/>
        </w:rPr>
        <w:tab/>
      </w:r>
      <w:r w:rsidR="00045009" w:rsidRPr="00CE1280">
        <w:rPr>
          <w:lang w:val="en-US"/>
        </w:rPr>
        <w:t xml:space="preserve">IAB Node </w:t>
      </w:r>
      <w:r w:rsidR="00E539C3">
        <w:rPr>
          <w:lang w:val="en-US"/>
        </w:rPr>
        <w:t>Utility</w:t>
      </w:r>
    </w:p>
    <w:p w14:paraId="0BB47352" w14:textId="471DDAC8" w:rsidR="00CD4C7B" w:rsidRPr="00CE1280" w:rsidRDefault="00045009" w:rsidP="00340E57">
      <w:pPr>
        <w:jc w:val="both"/>
      </w:pPr>
      <w:r w:rsidRPr="00CE1280">
        <w:t>IAB nodes may be deployed</w:t>
      </w:r>
      <w:r w:rsidR="00E539C3">
        <w:t xml:space="preserve"> for 5 fundamental purposes: (1)</w:t>
      </w:r>
      <w:r w:rsidRPr="00CE1280">
        <w:t xml:space="preserve"> to </w:t>
      </w:r>
      <w:r w:rsidR="005573C6">
        <w:t>mitigate</w:t>
      </w:r>
      <w:r w:rsidRPr="00CE1280">
        <w:t xml:space="preserve"> sparse </w:t>
      </w:r>
      <w:r w:rsidR="00E539C3" w:rsidRPr="00CE1280">
        <w:t>f</w:t>
      </w:r>
      <w:r w:rsidR="00E539C3">
        <w:t>iber; (2) to remediate</w:t>
      </w:r>
      <w:r w:rsidRPr="00CE1280">
        <w:t xml:space="preserve"> </w:t>
      </w:r>
      <w:r w:rsidR="005C5719">
        <w:t>isolated</w:t>
      </w:r>
      <w:r w:rsidR="005B4B7F" w:rsidRPr="00CE1280">
        <w:t xml:space="preserve"> </w:t>
      </w:r>
      <w:r w:rsidRPr="00CE1280">
        <w:t>coverage</w:t>
      </w:r>
      <w:r w:rsidR="00E539C3">
        <w:t xml:space="preserve"> </w:t>
      </w:r>
      <w:r w:rsidR="00D12CD9">
        <w:t>gaps;</w:t>
      </w:r>
      <w:r w:rsidR="00D12CD9" w:rsidRPr="00CE1280">
        <w:t xml:space="preserve"> </w:t>
      </w:r>
      <w:r w:rsidR="00962872">
        <w:t xml:space="preserve">(3) to enhance capacity; </w:t>
      </w:r>
      <w:r w:rsidR="00D12CD9" w:rsidRPr="00CE1280">
        <w:t>(</w:t>
      </w:r>
      <w:r w:rsidR="00962872">
        <w:t>4</w:t>
      </w:r>
      <w:r w:rsidR="00E539C3">
        <w:t xml:space="preserve">) to </w:t>
      </w:r>
      <w:r w:rsidR="005C5719">
        <w:t>bridge coverage from outdoor to indoor</w:t>
      </w:r>
      <w:r w:rsidR="00462207">
        <w:t xml:space="preserve">; </w:t>
      </w:r>
      <w:r w:rsidR="00070680">
        <w:t xml:space="preserve">or </w:t>
      </w:r>
      <w:r w:rsidR="00462207">
        <w:t>(5</w:t>
      </w:r>
      <w:r w:rsidR="00E539C3">
        <w:t xml:space="preserve">) to </w:t>
      </w:r>
      <w:r w:rsidR="00070680">
        <w:t>enable group mobility.  The</w:t>
      </w:r>
      <w:r w:rsidR="005C5719">
        <w:t>se</w:t>
      </w:r>
      <w:r w:rsidR="00462207">
        <w:t xml:space="preserve"> 5 uses</w:t>
      </w:r>
      <w:r w:rsidR="00070680">
        <w:t xml:space="preserve"> are presented in order of priority and their unique aspects are discussed in detail.  </w:t>
      </w:r>
      <w:r w:rsidR="005C5719">
        <w:t xml:space="preserve">Other </w:t>
      </w:r>
      <w:r w:rsidR="00462207">
        <w:t>uses</w:t>
      </w:r>
      <w:r w:rsidR="005C5719">
        <w:t xml:space="preserve"> may be envisioned, however, these 5 </w:t>
      </w:r>
      <w:r w:rsidR="00462207">
        <w:t>rep</w:t>
      </w:r>
      <w:r w:rsidR="001122E7">
        <w:t>resent a canonical set and other cases represent a combination of these 5 fundament sets</w:t>
      </w:r>
      <w:r w:rsidR="005C5719">
        <w:t>.</w:t>
      </w:r>
    </w:p>
    <w:p w14:paraId="1943C9E4" w14:textId="4653D5C5" w:rsidR="005B4B7F" w:rsidRPr="00CE1280" w:rsidRDefault="006B4818" w:rsidP="005B4B7F">
      <w:pPr>
        <w:pStyle w:val="Heading2"/>
        <w:rPr>
          <w:lang w:val="en-US"/>
        </w:rPr>
      </w:pPr>
      <w:bookmarkStart w:id="2" w:name="_Hlk502939240"/>
      <w:r w:rsidRPr="00CE1280">
        <w:rPr>
          <w:lang w:val="en-US"/>
        </w:rPr>
        <w:t>2</w:t>
      </w:r>
      <w:r w:rsidR="005B4B7F" w:rsidRPr="00CE1280">
        <w:rPr>
          <w:lang w:val="en-US"/>
        </w:rPr>
        <w:t>.1</w:t>
      </w:r>
      <w:r w:rsidR="005B4B7F" w:rsidRPr="00CE1280">
        <w:rPr>
          <w:lang w:val="en-US"/>
        </w:rPr>
        <w:tab/>
        <w:t xml:space="preserve">Sparse Fiber </w:t>
      </w:r>
      <w:r w:rsidRPr="00CE1280">
        <w:rPr>
          <w:lang w:val="en-US"/>
        </w:rPr>
        <w:t>Mitigation</w:t>
      </w:r>
      <w:r w:rsidR="00160763">
        <w:rPr>
          <w:lang w:val="en-US"/>
        </w:rPr>
        <w:t xml:space="preserve"> </w:t>
      </w:r>
      <w:r w:rsidR="002A67B3">
        <w:rPr>
          <w:lang w:val="en-US"/>
        </w:rPr>
        <w:t>(SFM)</w:t>
      </w:r>
    </w:p>
    <w:bookmarkEnd w:id="2"/>
    <w:p w14:paraId="59801CDE" w14:textId="25EF326B" w:rsidR="005B4B7F" w:rsidRDefault="005B4B7F" w:rsidP="00340E57">
      <w:pPr>
        <w:jc w:val="both"/>
      </w:pPr>
      <w:r w:rsidRPr="00CE1280">
        <w:t>Network coverage reliability targets for Key Performance Indicat</w:t>
      </w:r>
      <w:r w:rsidR="00290276">
        <w:t>ors</w:t>
      </w:r>
      <w:r w:rsidRPr="00CE1280">
        <w:t xml:space="preserve"> (KPIs)</w:t>
      </w:r>
      <w:r w:rsidR="00462207">
        <w:t>,</w:t>
      </w:r>
      <w:r w:rsidRPr="00CE1280">
        <w:t xml:space="preserve"> such as cell edge data rates</w:t>
      </w:r>
      <w:r w:rsidR="005C5719">
        <w:t>,</w:t>
      </w:r>
      <w:r w:rsidRPr="00CE1280">
        <w:t xml:space="preserve"> are </w:t>
      </w:r>
      <w:r w:rsidR="00D12BE9" w:rsidRPr="00CE1280">
        <w:t>governed by the physical characteristics of the target environment (e.g. buildings, foliage, etc), the available spectrum (e.g. bandwidth, carrier frequency) and regulatory/device limitations (i.e. transmit power).  To meet a target KPI at a desired coverage reliability</w:t>
      </w:r>
      <w:r w:rsidR="00E539C3">
        <w:t>,</w:t>
      </w:r>
      <w:r w:rsidR="00D12BE9" w:rsidRPr="00CE1280">
        <w:t xml:space="preserve"> </w:t>
      </w:r>
      <w:r w:rsidR="00462207">
        <w:t>typically</w:t>
      </w:r>
      <w:r w:rsidR="00D12BE9" w:rsidRPr="00CE1280">
        <w:t xml:space="preserve"> a</w:t>
      </w:r>
      <w:r w:rsidR="003E324E" w:rsidRPr="00CE1280">
        <w:t xml:space="preserve"> required</w:t>
      </w:r>
      <w:r w:rsidR="00D12BE9" w:rsidRPr="00CE1280">
        <w:t xml:space="preserve"> mean Inter-Site Distance (ISD) is identif</w:t>
      </w:r>
      <w:r w:rsidR="003E324E" w:rsidRPr="00CE1280">
        <w:t>ied</w:t>
      </w:r>
      <w:r w:rsidR="00D12BE9" w:rsidRPr="00CE1280">
        <w:t xml:space="preserve"> for a specific combination of targ</w:t>
      </w:r>
      <w:r w:rsidR="003E324E" w:rsidRPr="00CE1280">
        <w:t xml:space="preserve">et environment, available spectrum and device limitations.    </w:t>
      </w:r>
      <w:r w:rsidR="007B2CD2">
        <w:t>As shown in Figure 1 e</w:t>
      </w:r>
      <w:r w:rsidR="003E324E" w:rsidRPr="00CE1280">
        <w:t xml:space="preserve">xamples include both rural and urban macros typically represented as traditional cells on a hexagonal </w:t>
      </w:r>
      <w:r w:rsidR="007B2CD2">
        <w:t>layout</w:t>
      </w:r>
      <w:r w:rsidR="003E324E" w:rsidRPr="00CE1280">
        <w:t xml:space="preserve"> (a); urban micro environments represented as street pole deployments on an urban grid (b); and freeway deployments having cells evenly spaced along the motorway </w:t>
      </w:r>
      <w:r w:rsidR="00D12CD9">
        <w:t xml:space="preserve">in </w:t>
      </w:r>
      <w:r w:rsidR="006B4818" w:rsidRPr="00CE1280">
        <w:t xml:space="preserve">collinear distribution </w:t>
      </w:r>
      <w:r w:rsidR="003E324E" w:rsidRPr="00CE1280">
        <w:t xml:space="preserve">(c). </w:t>
      </w:r>
      <w:r w:rsidR="00462207">
        <w:t xml:space="preserve">  </w:t>
      </w:r>
    </w:p>
    <w:p w14:paraId="4D3D1304" w14:textId="77777777" w:rsidR="007B2CD2" w:rsidRDefault="00A53881" w:rsidP="007B2CD2">
      <w:pPr>
        <w:keepNext/>
      </w:pPr>
      <w:r>
        <w:rPr>
          <w:noProof/>
        </w:rPr>
        <w:lastRenderedPageBreak/>
        <w:drawing>
          <wp:inline distT="0" distB="0" distL="0" distR="0" wp14:anchorId="7D8FC548" wp14:editId="33294BD7">
            <wp:extent cx="5838428" cy="38371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66312" cy="3855449"/>
                    </a:xfrm>
                    <a:prstGeom prst="rect">
                      <a:avLst/>
                    </a:prstGeom>
                    <a:noFill/>
                  </pic:spPr>
                </pic:pic>
              </a:graphicData>
            </a:graphic>
          </wp:inline>
        </w:drawing>
      </w:r>
    </w:p>
    <w:p w14:paraId="2C66BD3F" w14:textId="25960135" w:rsidR="003E324E" w:rsidRPr="007B2CD2" w:rsidRDefault="007B2CD2" w:rsidP="007B2CD2">
      <w:pPr>
        <w:pStyle w:val="Caption"/>
        <w:jc w:val="center"/>
        <w:rPr>
          <w:rFonts w:ascii="Arial" w:hAnsi="Arial" w:cs="Arial"/>
          <w:b/>
          <w:i w:val="0"/>
          <w:sz w:val="20"/>
        </w:rPr>
      </w:pPr>
      <w:r w:rsidRPr="007B2CD2">
        <w:rPr>
          <w:rFonts w:ascii="Arial" w:hAnsi="Arial" w:cs="Arial"/>
          <w:b/>
          <w:i w:val="0"/>
          <w:sz w:val="20"/>
        </w:rPr>
        <w:t xml:space="preserve">Figure </w:t>
      </w:r>
      <w:r w:rsidRPr="007B2CD2">
        <w:rPr>
          <w:rFonts w:ascii="Arial" w:hAnsi="Arial" w:cs="Arial"/>
          <w:b/>
          <w:i w:val="0"/>
          <w:sz w:val="20"/>
        </w:rPr>
        <w:fldChar w:fldCharType="begin"/>
      </w:r>
      <w:r w:rsidRPr="007B2CD2">
        <w:rPr>
          <w:rFonts w:ascii="Arial" w:hAnsi="Arial" w:cs="Arial"/>
          <w:b/>
          <w:i w:val="0"/>
          <w:sz w:val="20"/>
        </w:rPr>
        <w:instrText xml:space="preserve"> SEQ Figure \* ARABIC </w:instrText>
      </w:r>
      <w:r w:rsidRPr="007B2CD2">
        <w:rPr>
          <w:rFonts w:ascii="Arial" w:hAnsi="Arial" w:cs="Arial"/>
          <w:b/>
          <w:i w:val="0"/>
          <w:sz w:val="20"/>
        </w:rPr>
        <w:fldChar w:fldCharType="separate"/>
      </w:r>
      <w:r w:rsidR="00EC648C">
        <w:rPr>
          <w:rFonts w:ascii="Arial" w:hAnsi="Arial" w:cs="Arial"/>
          <w:b/>
          <w:i w:val="0"/>
          <w:noProof/>
          <w:sz w:val="20"/>
        </w:rPr>
        <w:t>1</w:t>
      </w:r>
      <w:r w:rsidRPr="007B2CD2">
        <w:rPr>
          <w:rFonts w:ascii="Arial" w:hAnsi="Arial" w:cs="Arial"/>
          <w:b/>
          <w:i w:val="0"/>
          <w:sz w:val="20"/>
        </w:rPr>
        <w:fldChar w:fldCharType="end"/>
      </w:r>
      <w:r w:rsidRPr="007B2CD2">
        <w:rPr>
          <w:rFonts w:ascii="Arial" w:hAnsi="Arial" w:cs="Arial"/>
          <w:b/>
          <w:i w:val="0"/>
          <w:sz w:val="20"/>
        </w:rPr>
        <w:t xml:space="preserve"> Example deployments requiring a mean ISD</w:t>
      </w:r>
    </w:p>
    <w:p w14:paraId="453943C5" w14:textId="791D7D82" w:rsidR="00A53881" w:rsidRDefault="00E539C3" w:rsidP="00340E57">
      <w:pPr>
        <w:jc w:val="both"/>
      </w:pPr>
      <w:r>
        <w:t>Often</w:t>
      </w:r>
      <w:r w:rsidR="003E324E" w:rsidRPr="00CE1280">
        <w:t xml:space="preserve"> the </w:t>
      </w:r>
      <w:r w:rsidR="008A2708" w:rsidRPr="00CE1280">
        <w:t>existing</w:t>
      </w:r>
      <w:r w:rsidR="003E324E" w:rsidRPr="00CE1280">
        <w:t xml:space="preserve"> fiber is insufficient to match the required ISD</w:t>
      </w:r>
      <w:r w:rsidR="008A2708" w:rsidRPr="00CE1280">
        <w:t xml:space="preserve"> and</w:t>
      </w:r>
      <w:r w:rsidR="003E324E" w:rsidRPr="00CE1280">
        <w:t xml:space="preserve"> as a result the operator may be forced </w:t>
      </w:r>
      <w:r w:rsidR="0040079E">
        <w:t xml:space="preserve">to </w:t>
      </w:r>
      <w:r w:rsidR="008A2708" w:rsidRPr="00CE1280">
        <w:t xml:space="preserve">forgo the coverage reliability target (e.g. 95%) settling for lower reliability (e.g. 50%, 70%, 80%).  Alternatively, the operator may increase the fiber availability undergoing both a costly and </w:t>
      </w:r>
      <w:r w:rsidR="00CE1280" w:rsidRPr="00CE1280">
        <w:t>time-consuming</w:t>
      </w:r>
      <w:r w:rsidR="008A2708" w:rsidRPr="00CE1280">
        <w:t xml:space="preserve"> </w:t>
      </w:r>
      <w:r w:rsidR="003548A1" w:rsidRPr="00CE1280">
        <w:t xml:space="preserve">excavation.  IAB nodes offer </w:t>
      </w:r>
      <w:r w:rsidR="00D12CD9">
        <w:t xml:space="preserve">a </w:t>
      </w:r>
      <w:r w:rsidR="003548A1" w:rsidRPr="00CE1280">
        <w:t xml:space="preserve">solution </w:t>
      </w:r>
      <w:r w:rsidR="00462207">
        <w:t xml:space="preserve">allowing </w:t>
      </w:r>
      <w:r w:rsidR="001122E7">
        <w:t xml:space="preserve">densification of </w:t>
      </w:r>
      <w:r w:rsidR="003548A1" w:rsidRPr="00CE1280">
        <w:t>access coverage at the required ISD with the existing fiber connections</w:t>
      </w:r>
      <w:r w:rsidR="00D12CD9">
        <w:t>.   The fiber connected gNB</w:t>
      </w:r>
      <w:r w:rsidR="001122E7">
        <w:t>s</w:t>
      </w:r>
      <w:r w:rsidR="00D12CD9">
        <w:t xml:space="preserve"> serve as Donor Nodes </w:t>
      </w:r>
      <w:r w:rsidR="003548A1" w:rsidRPr="00CE1280">
        <w:t xml:space="preserve">providing the anchor for the three aforementioned examples hexagonal grids (a), rectangular grids (b) and </w:t>
      </w:r>
      <w:r w:rsidR="006B4818" w:rsidRPr="00CE1280">
        <w:t>collinear distribution</w:t>
      </w:r>
      <w:r w:rsidR="003548A1" w:rsidRPr="00CE1280">
        <w:t xml:space="preserve"> (c).  A varying percentage of fiber connectivity may be evaluated to quantify the benefit th</w:t>
      </w:r>
      <w:r w:rsidR="00D12CD9">
        <w:t>at IAB nodes provide showing the respective</w:t>
      </w:r>
      <w:r w:rsidR="003548A1" w:rsidRPr="00CE1280">
        <w:t xml:space="preserve"> KPI </w:t>
      </w:r>
      <w:r w:rsidR="00D12CD9">
        <w:t>with and without the</w:t>
      </w:r>
      <w:r w:rsidR="003548A1" w:rsidRPr="00CE1280">
        <w:t xml:space="preserve"> IAB nodes.</w:t>
      </w:r>
      <w:r w:rsidR="00A53881" w:rsidRPr="00A53881">
        <w:rPr>
          <w:noProof/>
        </w:rPr>
        <w:t xml:space="preserve"> </w:t>
      </w:r>
      <w:r w:rsidR="00461712">
        <w:rPr>
          <w:noProof/>
        </w:rPr>
        <w:t xml:space="preserve"> Figure 2 shows an example where </w:t>
      </w:r>
      <w:r w:rsidR="007B2CD2">
        <w:rPr>
          <w:noProof/>
        </w:rPr>
        <w:t>(a)</w:t>
      </w:r>
      <w:r w:rsidR="00461712">
        <w:rPr>
          <w:noProof/>
        </w:rPr>
        <w:t xml:space="preserve"> shows the</w:t>
      </w:r>
      <w:r w:rsidR="007B2CD2">
        <w:rPr>
          <w:noProof/>
        </w:rPr>
        <w:t xml:space="preserve"> ideal node density with fiber</w:t>
      </w:r>
      <w:r w:rsidR="00461712">
        <w:rPr>
          <w:noProof/>
        </w:rPr>
        <w:t xml:space="preserve"> at the required ISD</w:t>
      </w:r>
      <w:r w:rsidR="007B2CD2">
        <w:rPr>
          <w:noProof/>
        </w:rPr>
        <w:t xml:space="preserve">, (b) </w:t>
      </w:r>
      <w:r w:rsidR="00461712">
        <w:rPr>
          <w:noProof/>
        </w:rPr>
        <w:t xml:space="preserve"> shows the </w:t>
      </w:r>
      <w:r w:rsidR="007B2CD2">
        <w:rPr>
          <w:noProof/>
        </w:rPr>
        <w:t xml:space="preserve">available node density </w:t>
      </w:r>
      <w:r w:rsidR="007010B4">
        <w:rPr>
          <w:noProof/>
        </w:rPr>
        <w:t>with increaed ISD</w:t>
      </w:r>
      <w:r w:rsidR="007B2CD2">
        <w:rPr>
          <w:noProof/>
        </w:rPr>
        <w:t xml:space="preserve"> to match available fiber and (c) </w:t>
      </w:r>
      <w:r w:rsidR="00461712">
        <w:rPr>
          <w:noProof/>
        </w:rPr>
        <w:t xml:space="preserve">shows </w:t>
      </w:r>
      <w:r w:rsidR="007B2CD2">
        <w:rPr>
          <w:noProof/>
        </w:rPr>
        <w:t>mitigation of sparse fiber with IAB nodes.</w:t>
      </w:r>
      <w:r w:rsidR="001122E7">
        <w:rPr>
          <w:noProof/>
        </w:rPr>
        <w:t xml:space="preserve">  The example in Figure 2 may also be applied to urban grids and collinear</w:t>
      </w:r>
      <w:r w:rsidR="00F33170">
        <w:rPr>
          <w:noProof/>
        </w:rPr>
        <w:t xml:space="preserve"> distributions of nodes having varying fiber density.</w:t>
      </w:r>
      <w:r w:rsidR="001122E7">
        <w:rPr>
          <w:noProof/>
        </w:rPr>
        <w:t xml:space="preserve"> </w:t>
      </w:r>
    </w:p>
    <w:p w14:paraId="3CFC8C24" w14:textId="77777777" w:rsidR="007B2CD2" w:rsidRDefault="007B2CD2" w:rsidP="005B4B7F">
      <w:pPr>
        <w:rPr>
          <w:noProof/>
        </w:rPr>
      </w:pPr>
    </w:p>
    <w:p w14:paraId="5B0A5B05" w14:textId="31C48BE7" w:rsidR="007B2CD2" w:rsidRDefault="00BA123F" w:rsidP="00FA2132">
      <w:pPr>
        <w:keepNext/>
        <w:jc w:val="center"/>
      </w:pPr>
      <w:r>
        <w:rPr>
          <w:noProof/>
        </w:rPr>
        <w:drawing>
          <wp:inline distT="0" distB="0" distL="0" distR="0" wp14:anchorId="15A348A8" wp14:editId="7DF213C5">
            <wp:extent cx="5961600" cy="24660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61600" cy="2466000"/>
                    </a:xfrm>
                    <a:prstGeom prst="rect">
                      <a:avLst/>
                    </a:prstGeom>
                    <a:noFill/>
                  </pic:spPr>
                </pic:pic>
              </a:graphicData>
            </a:graphic>
          </wp:inline>
        </w:drawing>
      </w:r>
    </w:p>
    <w:p w14:paraId="2B11A675" w14:textId="3F4B6467" w:rsidR="007B2CD2" w:rsidRPr="007B2CD2" w:rsidRDefault="007B2CD2" w:rsidP="007B2CD2">
      <w:pPr>
        <w:pStyle w:val="Caption"/>
        <w:jc w:val="center"/>
        <w:rPr>
          <w:rFonts w:ascii="Arial" w:hAnsi="Arial" w:cs="Arial"/>
          <w:b/>
          <w:i w:val="0"/>
          <w:sz w:val="20"/>
        </w:rPr>
      </w:pPr>
      <w:r w:rsidRPr="007B2CD2">
        <w:rPr>
          <w:rFonts w:ascii="Arial" w:hAnsi="Arial" w:cs="Arial"/>
          <w:b/>
          <w:i w:val="0"/>
          <w:sz w:val="20"/>
        </w:rPr>
        <w:t xml:space="preserve">Figure </w:t>
      </w:r>
      <w:r w:rsidRPr="007B2CD2">
        <w:rPr>
          <w:rFonts w:ascii="Arial" w:hAnsi="Arial" w:cs="Arial"/>
          <w:b/>
          <w:i w:val="0"/>
          <w:sz w:val="20"/>
        </w:rPr>
        <w:fldChar w:fldCharType="begin"/>
      </w:r>
      <w:r w:rsidRPr="007B2CD2">
        <w:rPr>
          <w:rFonts w:ascii="Arial" w:hAnsi="Arial" w:cs="Arial"/>
          <w:b/>
          <w:i w:val="0"/>
          <w:sz w:val="20"/>
        </w:rPr>
        <w:instrText xml:space="preserve"> SEQ Figure \* ARABIC </w:instrText>
      </w:r>
      <w:r w:rsidRPr="007B2CD2">
        <w:rPr>
          <w:rFonts w:ascii="Arial" w:hAnsi="Arial" w:cs="Arial"/>
          <w:b/>
          <w:i w:val="0"/>
          <w:sz w:val="20"/>
        </w:rPr>
        <w:fldChar w:fldCharType="separate"/>
      </w:r>
      <w:r w:rsidR="00EC648C">
        <w:rPr>
          <w:rFonts w:ascii="Arial" w:hAnsi="Arial" w:cs="Arial"/>
          <w:b/>
          <w:i w:val="0"/>
          <w:noProof/>
          <w:sz w:val="20"/>
        </w:rPr>
        <w:t>2</w:t>
      </w:r>
      <w:r w:rsidRPr="007B2CD2">
        <w:rPr>
          <w:rFonts w:ascii="Arial" w:hAnsi="Arial" w:cs="Arial"/>
          <w:b/>
          <w:i w:val="0"/>
          <w:sz w:val="20"/>
        </w:rPr>
        <w:fldChar w:fldCharType="end"/>
      </w:r>
      <w:r w:rsidRPr="007B2CD2">
        <w:rPr>
          <w:rFonts w:ascii="Arial" w:hAnsi="Arial" w:cs="Arial"/>
          <w:b/>
          <w:i w:val="0"/>
          <w:sz w:val="20"/>
        </w:rPr>
        <w:t xml:space="preserve"> Example Sparse Fiber Mitigation with IAB nodes</w:t>
      </w:r>
    </w:p>
    <w:p w14:paraId="7102B5DA" w14:textId="3AB5AD79" w:rsidR="006B4818" w:rsidRPr="007B2CD2" w:rsidRDefault="006B4818" w:rsidP="007B2CD2">
      <w:pPr>
        <w:pStyle w:val="Caption"/>
        <w:jc w:val="center"/>
        <w:rPr>
          <w:rFonts w:ascii="Arial" w:hAnsi="Arial" w:cs="Arial"/>
          <w:b/>
          <w:i w:val="0"/>
          <w:sz w:val="20"/>
        </w:rPr>
      </w:pPr>
    </w:p>
    <w:p w14:paraId="06C54304" w14:textId="3106782F" w:rsidR="006B4818" w:rsidRPr="00CE1280" w:rsidRDefault="006B4818" w:rsidP="006B4818">
      <w:pPr>
        <w:pStyle w:val="Heading2"/>
        <w:rPr>
          <w:lang w:val="en-US"/>
        </w:rPr>
      </w:pPr>
      <w:r w:rsidRPr="00CE1280">
        <w:rPr>
          <w:lang w:val="en-US"/>
        </w:rPr>
        <w:lastRenderedPageBreak/>
        <w:t>2.2</w:t>
      </w:r>
      <w:r w:rsidRPr="00CE1280">
        <w:rPr>
          <w:lang w:val="en-US"/>
        </w:rPr>
        <w:tab/>
      </w:r>
      <w:r w:rsidR="00462207">
        <w:rPr>
          <w:lang w:val="en-US"/>
        </w:rPr>
        <w:t xml:space="preserve">Isolated </w:t>
      </w:r>
      <w:r w:rsidRPr="00CE1280">
        <w:rPr>
          <w:lang w:val="en-US"/>
        </w:rPr>
        <w:t>Gap Remediation</w:t>
      </w:r>
      <w:r w:rsidR="00160763">
        <w:rPr>
          <w:lang w:val="en-US"/>
        </w:rPr>
        <w:t xml:space="preserve"> </w:t>
      </w:r>
      <w:r w:rsidR="002A67B3">
        <w:rPr>
          <w:lang w:val="en-US"/>
        </w:rPr>
        <w:t>(IGR)</w:t>
      </w:r>
    </w:p>
    <w:p w14:paraId="0DAEE73B" w14:textId="09F96066" w:rsidR="005B4B7F" w:rsidRDefault="006B4818" w:rsidP="00340E57">
      <w:pPr>
        <w:jc w:val="both"/>
      </w:pPr>
      <w:r w:rsidRPr="00CE1280">
        <w:t xml:space="preserve">In some cases, the network coverage reliability targets are not met </w:t>
      </w:r>
      <w:r w:rsidR="00D12CD9">
        <w:t>due to isolated aspects</w:t>
      </w:r>
      <w:r w:rsidRPr="00CE1280">
        <w:t xml:space="preserve"> of a target environment (e.g. </w:t>
      </w:r>
      <w:r w:rsidR="00F33170">
        <w:t xml:space="preserve">buildings, stand of trees, </w:t>
      </w:r>
      <w:r w:rsidRPr="00CE1280">
        <w:t xml:space="preserve">long alleyways, </w:t>
      </w:r>
      <w:r w:rsidR="00F33170">
        <w:t>water towers, etc</w:t>
      </w:r>
      <w:r w:rsidR="00523D48" w:rsidRPr="00CE1280">
        <w:t>) and</w:t>
      </w:r>
      <w:r w:rsidR="00160763">
        <w:t>,</w:t>
      </w:r>
      <w:r w:rsidR="00523D48" w:rsidRPr="00CE1280">
        <w:t xml:space="preserve"> as such</w:t>
      </w:r>
      <w:r w:rsidR="00160763">
        <w:t>,</w:t>
      </w:r>
      <w:r w:rsidR="00523D48" w:rsidRPr="00CE1280">
        <w:t xml:space="preserve"> the deliberate placement of IAB </w:t>
      </w:r>
      <w:r w:rsidR="00160763">
        <w:t>node</w:t>
      </w:r>
      <w:r w:rsidR="005573C6">
        <w:t xml:space="preserve"> </w:t>
      </w:r>
      <w:r w:rsidR="00523D48" w:rsidRPr="00CE1280">
        <w:t xml:space="preserve">can remedy </w:t>
      </w:r>
      <w:r w:rsidR="005573C6">
        <w:t>a specific</w:t>
      </w:r>
      <w:r w:rsidR="00523D48" w:rsidRPr="00CE1280">
        <w:t xml:space="preserve"> coverage gap</w:t>
      </w:r>
      <w:r w:rsidR="00160763">
        <w:t>. Unlike the Sparse Fiber Mitigation scenario, these IAB nodes fall outside the regular grid of nodes supplementing the coverage in specific locations.  These coverage gaps may be found in the hexagonal</w:t>
      </w:r>
      <w:r w:rsidR="00F33170">
        <w:t xml:space="preserve"> layouts, urban grids</w:t>
      </w:r>
      <w:r w:rsidR="00B41125">
        <w:t xml:space="preserve"> or </w:t>
      </w:r>
      <w:r w:rsidR="00962872">
        <w:t>collinear</w:t>
      </w:r>
      <w:r w:rsidR="00B41125">
        <w:t xml:space="preserve"> layouts </w:t>
      </w:r>
      <w:r w:rsidR="00962872">
        <w:t>described</w:t>
      </w:r>
      <w:r w:rsidR="00B41125">
        <w:t xml:space="preserve"> in the previous section.  </w:t>
      </w:r>
      <w:r w:rsidR="00160763">
        <w:t xml:space="preserve">In this scenario, the location of coverage gaps must be first identified and then remediated by </w:t>
      </w:r>
      <w:r w:rsidR="00B41125">
        <w:t>the placement of additional IAB</w:t>
      </w:r>
      <w:r w:rsidR="00EC648C">
        <w:t xml:space="preserve"> node</w:t>
      </w:r>
      <w:r w:rsidR="00B41125">
        <w:t>.  The coverage gaps may be identified through system planning using detailed topographical maps and building databases or learned by active measurement through drive tests and UE measurement reports.</w:t>
      </w:r>
      <w:r w:rsidR="00F33170">
        <w:t xml:space="preserve">  Figure 3 shows an illustration of how IAB nodes may be strategically placed to remediate isolated coverage gaps.  Figure 4 illustrates how this might be studied at the system level where gaps are first identified and the remediated by IAB nodes.  The system KPIs can be evaluated before and after remediation to determine the efficacy of IAB nodes.</w:t>
      </w:r>
    </w:p>
    <w:p w14:paraId="0477A901" w14:textId="6FF6F268" w:rsidR="0098391D" w:rsidRDefault="001122E7" w:rsidP="0098391D">
      <w:pPr>
        <w:keepNext/>
      </w:pPr>
      <w:r>
        <w:rPr>
          <w:noProof/>
        </w:rPr>
        <w:drawing>
          <wp:inline distT="0" distB="0" distL="0" distR="0" wp14:anchorId="0C4B6504" wp14:editId="70142DB5">
            <wp:extent cx="5487035" cy="29629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7035" cy="2962910"/>
                    </a:xfrm>
                    <a:prstGeom prst="rect">
                      <a:avLst/>
                    </a:prstGeom>
                    <a:noFill/>
                  </pic:spPr>
                </pic:pic>
              </a:graphicData>
            </a:graphic>
          </wp:inline>
        </w:drawing>
      </w:r>
    </w:p>
    <w:p w14:paraId="76FB5EE7" w14:textId="63DE65EC" w:rsidR="009127F2" w:rsidRDefault="0098391D" w:rsidP="0098391D">
      <w:pPr>
        <w:pStyle w:val="Caption"/>
        <w:jc w:val="center"/>
        <w:rPr>
          <w:rFonts w:ascii="Arial" w:hAnsi="Arial" w:cs="Arial"/>
          <w:b/>
          <w:i w:val="0"/>
          <w:sz w:val="20"/>
        </w:rPr>
      </w:pPr>
      <w:r w:rsidRPr="0098391D">
        <w:rPr>
          <w:rFonts w:ascii="Arial" w:hAnsi="Arial" w:cs="Arial"/>
          <w:b/>
          <w:i w:val="0"/>
          <w:sz w:val="20"/>
        </w:rPr>
        <w:t xml:space="preserve">Figure </w:t>
      </w:r>
      <w:r w:rsidRPr="0098391D">
        <w:rPr>
          <w:rFonts w:ascii="Arial" w:hAnsi="Arial" w:cs="Arial"/>
          <w:b/>
          <w:i w:val="0"/>
          <w:sz w:val="20"/>
        </w:rPr>
        <w:fldChar w:fldCharType="begin"/>
      </w:r>
      <w:r w:rsidRPr="0098391D">
        <w:rPr>
          <w:rFonts w:ascii="Arial" w:hAnsi="Arial" w:cs="Arial"/>
          <w:b/>
          <w:i w:val="0"/>
          <w:sz w:val="20"/>
        </w:rPr>
        <w:instrText xml:space="preserve"> SEQ Figure \* ARABIC </w:instrText>
      </w:r>
      <w:r w:rsidRPr="0098391D">
        <w:rPr>
          <w:rFonts w:ascii="Arial" w:hAnsi="Arial" w:cs="Arial"/>
          <w:b/>
          <w:i w:val="0"/>
          <w:sz w:val="20"/>
        </w:rPr>
        <w:fldChar w:fldCharType="separate"/>
      </w:r>
      <w:r w:rsidR="00EC648C">
        <w:rPr>
          <w:rFonts w:ascii="Arial" w:hAnsi="Arial" w:cs="Arial"/>
          <w:b/>
          <w:i w:val="0"/>
          <w:noProof/>
          <w:sz w:val="20"/>
        </w:rPr>
        <w:t>3</w:t>
      </w:r>
      <w:r w:rsidRPr="0098391D">
        <w:rPr>
          <w:rFonts w:ascii="Arial" w:hAnsi="Arial" w:cs="Arial"/>
          <w:b/>
          <w:i w:val="0"/>
          <w:sz w:val="20"/>
        </w:rPr>
        <w:fldChar w:fldCharType="end"/>
      </w:r>
      <w:r w:rsidRPr="0098391D">
        <w:rPr>
          <w:rFonts w:ascii="Arial" w:hAnsi="Arial" w:cs="Arial"/>
          <w:b/>
          <w:i w:val="0"/>
          <w:sz w:val="20"/>
        </w:rPr>
        <w:t xml:space="preserve"> Illustration of coverage gap remediated by strategic placement of IAB nodes</w:t>
      </w:r>
    </w:p>
    <w:p w14:paraId="0DB46FC0" w14:textId="77777777" w:rsidR="001122E7" w:rsidRDefault="001122E7" w:rsidP="001122E7">
      <w:pPr>
        <w:keepNext/>
        <w:jc w:val="center"/>
      </w:pPr>
      <w:r>
        <w:rPr>
          <w:noProof/>
        </w:rPr>
        <w:lastRenderedPageBreak/>
        <w:drawing>
          <wp:inline distT="0" distB="0" distL="0" distR="0" wp14:anchorId="44546417" wp14:editId="45886F94">
            <wp:extent cx="4029710" cy="36887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29710" cy="3688715"/>
                    </a:xfrm>
                    <a:prstGeom prst="rect">
                      <a:avLst/>
                    </a:prstGeom>
                    <a:noFill/>
                  </pic:spPr>
                </pic:pic>
              </a:graphicData>
            </a:graphic>
          </wp:inline>
        </w:drawing>
      </w:r>
    </w:p>
    <w:p w14:paraId="7B3FC07E" w14:textId="42C1030B" w:rsidR="001122E7" w:rsidRPr="001122E7" w:rsidRDefault="001122E7" w:rsidP="001122E7">
      <w:pPr>
        <w:pStyle w:val="Caption"/>
        <w:jc w:val="center"/>
        <w:rPr>
          <w:rFonts w:ascii="Arial" w:hAnsi="Arial" w:cs="Arial"/>
          <w:b/>
          <w:i w:val="0"/>
          <w:sz w:val="20"/>
        </w:rPr>
      </w:pPr>
      <w:r w:rsidRPr="001122E7">
        <w:rPr>
          <w:rFonts w:ascii="Arial" w:hAnsi="Arial" w:cs="Arial"/>
          <w:b/>
          <w:i w:val="0"/>
          <w:sz w:val="20"/>
        </w:rPr>
        <w:t xml:space="preserve">Figure </w:t>
      </w:r>
      <w:r w:rsidRPr="001122E7">
        <w:rPr>
          <w:rFonts w:ascii="Arial" w:hAnsi="Arial" w:cs="Arial"/>
          <w:b/>
          <w:i w:val="0"/>
          <w:sz w:val="20"/>
        </w:rPr>
        <w:fldChar w:fldCharType="begin"/>
      </w:r>
      <w:r w:rsidRPr="001122E7">
        <w:rPr>
          <w:rFonts w:ascii="Arial" w:hAnsi="Arial" w:cs="Arial"/>
          <w:b/>
          <w:i w:val="0"/>
          <w:sz w:val="20"/>
        </w:rPr>
        <w:instrText xml:space="preserve"> SEQ Figure \* ARABIC </w:instrText>
      </w:r>
      <w:r w:rsidRPr="001122E7">
        <w:rPr>
          <w:rFonts w:ascii="Arial" w:hAnsi="Arial" w:cs="Arial"/>
          <w:b/>
          <w:i w:val="0"/>
          <w:sz w:val="20"/>
        </w:rPr>
        <w:fldChar w:fldCharType="separate"/>
      </w:r>
      <w:r w:rsidR="00EC648C">
        <w:rPr>
          <w:rFonts w:ascii="Arial" w:hAnsi="Arial" w:cs="Arial"/>
          <w:b/>
          <w:i w:val="0"/>
          <w:noProof/>
          <w:sz w:val="20"/>
        </w:rPr>
        <w:t>4</w:t>
      </w:r>
      <w:r w:rsidRPr="001122E7">
        <w:rPr>
          <w:rFonts w:ascii="Arial" w:hAnsi="Arial" w:cs="Arial"/>
          <w:b/>
          <w:i w:val="0"/>
          <w:sz w:val="20"/>
        </w:rPr>
        <w:fldChar w:fldCharType="end"/>
      </w:r>
      <w:r w:rsidRPr="001122E7">
        <w:rPr>
          <w:rFonts w:ascii="Arial" w:hAnsi="Arial" w:cs="Arial"/>
          <w:b/>
          <w:i w:val="0"/>
          <w:sz w:val="20"/>
        </w:rPr>
        <w:t xml:space="preserve"> Example of Isolated Gap Remediation on a multi-cell system</w:t>
      </w:r>
    </w:p>
    <w:p w14:paraId="06C9824D" w14:textId="68E9593D" w:rsidR="00B41125" w:rsidRPr="00CE1280" w:rsidRDefault="00B41125" w:rsidP="00B41125">
      <w:pPr>
        <w:pStyle w:val="Heading2"/>
        <w:rPr>
          <w:lang w:val="en-US"/>
        </w:rPr>
      </w:pPr>
      <w:r w:rsidRPr="00CE1280">
        <w:rPr>
          <w:lang w:val="en-US"/>
        </w:rPr>
        <w:t>2.</w:t>
      </w:r>
      <w:r w:rsidR="00962872">
        <w:rPr>
          <w:lang w:val="en-US"/>
        </w:rPr>
        <w:t>3</w:t>
      </w:r>
      <w:r w:rsidRPr="00CE1280">
        <w:rPr>
          <w:lang w:val="en-US"/>
        </w:rPr>
        <w:tab/>
      </w:r>
      <w:r w:rsidR="005573C6">
        <w:rPr>
          <w:lang w:val="en-US"/>
        </w:rPr>
        <w:t>Capacity Enhancing</w:t>
      </w:r>
      <w:r>
        <w:rPr>
          <w:lang w:val="en-US"/>
        </w:rPr>
        <w:t xml:space="preserve"> </w:t>
      </w:r>
      <w:r w:rsidR="002A67B3">
        <w:rPr>
          <w:lang w:val="en-US"/>
        </w:rPr>
        <w:t>(CE)</w:t>
      </w:r>
    </w:p>
    <w:p w14:paraId="31C2E06D" w14:textId="390B674F" w:rsidR="00670471" w:rsidRDefault="00B41125" w:rsidP="00340E57">
      <w:pPr>
        <w:jc w:val="both"/>
      </w:pPr>
      <w:r>
        <w:t>Another application of IAB may be to improve system capacity through cell densification.  An existing network, having sufficient fib</w:t>
      </w:r>
      <w:r w:rsidR="004E7A44">
        <w:t>er</w:t>
      </w:r>
      <w:r>
        <w:t xml:space="preserve"> backhaul capacity to meet the desired coverage reliability targets</w:t>
      </w:r>
      <w:r w:rsidR="004E7A44">
        <w:t>,</w:t>
      </w:r>
      <w:r>
        <w:t xml:space="preserve"> may use IAB nodes for cell splitting or to create a heterogenous network</w:t>
      </w:r>
      <w:r w:rsidR="004E7A44">
        <w:t xml:space="preserve"> serv</w:t>
      </w:r>
      <w:r w:rsidR="00D20009">
        <w:t>ing</w:t>
      </w:r>
      <w:r w:rsidR="004E7A44">
        <w:t xml:space="preserve"> a denser population of UEs. This is a more challenging goal as the performance improvement provided by the IAB nodes must </w:t>
      </w:r>
      <w:r w:rsidR="0074709C">
        <w:t xml:space="preserve">surpass </w:t>
      </w:r>
      <w:r w:rsidR="004E7A44">
        <w:t>the performance los</w:t>
      </w:r>
      <w:r w:rsidR="00AA5C89">
        <w:t>s</w:t>
      </w:r>
      <w:r w:rsidR="004E7A44">
        <w:t xml:space="preserve"> resulting from the sharing of spectrum with backhaul traffic. </w:t>
      </w:r>
      <w:r w:rsidR="00D20009">
        <w:t xml:space="preserve">This differs from the previous two scenarios which are overcoming geometry shortcomings. </w:t>
      </w:r>
      <w:r w:rsidR="005573C6">
        <w:t xml:space="preserve">A capacity enhancing scenario would require both interference mitigation and spectral efficiency improvements given that good coverage had existed </w:t>
      </w:r>
      <w:r w:rsidR="00EC648C">
        <w:t xml:space="preserve">to </w:t>
      </w:r>
      <w:r w:rsidR="005573C6">
        <w:t>begin with</w:t>
      </w:r>
      <w:r w:rsidR="00D20009">
        <w:t>.</w:t>
      </w:r>
      <w:r w:rsidR="004E7A44">
        <w:t xml:space="preserve"> </w:t>
      </w:r>
    </w:p>
    <w:p w14:paraId="35E94DE6" w14:textId="0354714E" w:rsidR="00962872" w:rsidRPr="00CE1280" w:rsidRDefault="00962872" w:rsidP="00962872">
      <w:pPr>
        <w:pStyle w:val="Heading2"/>
        <w:rPr>
          <w:lang w:val="en-US"/>
        </w:rPr>
      </w:pPr>
      <w:r w:rsidRPr="00CE1280">
        <w:rPr>
          <w:lang w:val="en-US"/>
        </w:rPr>
        <w:t>2.</w:t>
      </w:r>
      <w:r>
        <w:rPr>
          <w:lang w:val="en-US"/>
        </w:rPr>
        <w:t>4</w:t>
      </w:r>
      <w:r>
        <w:rPr>
          <w:lang w:val="en-US"/>
        </w:rPr>
        <w:tab/>
        <w:t>Coverage Bridging</w:t>
      </w:r>
      <w:r w:rsidR="002A67B3">
        <w:rPr>
          <w:lang w:val="en-US"/>
        </w:rPr>
        <w:t xml:space="preserve"> (CB)</w:t>
      </w:r>
    </w:p>
    <w:p w14:paraId="64370170" w14:textId="2C9CBEC5" w:rsidR="00670471" w:rsidRDefault="00962872" w:rsidP="00340E57">
      <w:pPr>
        <w:jc w:val="both"/>
      </w:pPr>
      <w:r>
        <w:t xml:space="preserve">The challenge of outdoor to indoor penetration loss is well known at mmWave frequencies.   Therefore, an application of IAB nodes may be </w:t>
      </w:r>
      <w:r w:rsidR="00F33170">
        <w:t xml:space="preserve">to </w:t>
      </w:r>
      <w:r>
        <w:t xml:space="preserve">bridge traffic from outdoor to indoor environments.  The high penetration loss serves as both disadvantage and advantage to system deployment by first preventing the coverage from reaching the indoors but then also providing isolation from interference allowing indoor frequency </w:t>
      </w:r>
      <w:r w:rsidR="00F33170">
        <w:t>reuse</w:t>
      </w:r>
      <w:r>
        <w:t xml:space="preserve"> of outdoor spectrum.</w:t>
      </w:r>
      <w:r w:rsidR="00F33170">
        <w:t xml:space="preserve">  Arguably, the evaluation of </w:t>
      </w:r>
      <w:r w:rsidR="00461712">
        <w:t xml:space="preserve">a </w:t>
      </w:r>
      <w:r w:rsidR="00F33170">
        <w:t xml:space="preserve">system employing coverage bridging may be separable allowing the outdoor coverage and indoor coverage to be evaluated independently. </w:t>
      </w:r>
      <w:r w:rsidR="00DC2B5B">
        <w:t xml:space="preserve">  Figure 5 shows the use case where the IAB node must be integrated across the barrier.  Figure 6 shows an example</w:t>
      </w:r>
      <w:r w:rsidR="00461712">
        <w:t xml:space="preserve"> IAB node</w:t>
      </w:r>
      <w:r w:rsidR="00DC2B5B">
        <w:t xml:space="preserve"> construction with </w:t>
      </w:r>
      <w:r w:rsidR="00461712">
        <w:t>the</w:t>
      </w:r>
      <w:r w:rsidR="00DC2B5B">
        <w:t xml:space="preserve"> node mounted </w:t>
      </w:r>
      <w:r w:rsidR="00461712">
        <w:t xml:space="preserve">to the </w:t>
      </w:r>
      <w:r w:rsidR="00DC2B5B">
        <w:t>window bridging capacity from an outdoor transceiver to an indoor transceiver.</w:t>
      </w:r>
    </w:p>
    <w:p w14:paraId="07D1BB6C" w14:textId="77777777" w:rsidR="00DC2B5B" w:rsidRDefault="00DC2B5B" w:rsidP="00DC2B5B">
      <w:pPr>
        <w:keepNext/>
        <w:jc w:val="center"/>
      </w:pPr>
      <w:r w:rsidRPr="00DC2B5B">
        <w:rPr>
          <w:noProof/>
          <w:sz w:val="16"/>
        </w:rPr>
        <w:lastRenderedPageBreak/>
        <w:drawing>
          <wp:inline distT="0" distB="0" distL="0" distR="0" wp14:anchorId="0CCCC814" wp14:editId="66A2F762">
            <wp:extent cx="4088662" cy="1801495"/>
            <wp:effectExtent l="0" t="0" r="762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07479" cy="1809786"/>
                    </a:xfrm>
                    <a:prstGeom prst="rect">
                      <a:avLst/>
                    </a:prstGeom>
                    <a:noFill/>
                  </pic:spPr>
                </pic:pic>
              </a:graphicData>
            </a:graphic>
          </wp:inline>
        </w:drawing>
      </w:r>
    </w:p>
    <w:p w14:paraId="1C072CF1" w14:textId="49FFB3CA" w:rsidR="00C85E53" w:rsidRPr="00DC2B5B" w:rsidRDefault="00DC2B5B" w:rsidP="00DC2B5B">
      <w:pPr>
        <w:pStyle w:val="Caption"/>
        <w:jc w:val="center"/>
        <w:rPr>
          <w:rFonts w:ascii="Arial" w:hAnsi="Arial" w:cs="Arial"/>
          <w:b/>
          <w:i w:val="0"/>
          <w:sz w:val="20"/>
        </w:rPr>
      </w:pPr>
      <w:r w:rsidRPr="00DC2B5B">
        <w:rPr>
          <w:rFonts w:ascii="Arial" w:hAnsi="Arial" w:cs="Arial"/>
          <w:b/>
          <w:i w:val="0"/>
          <w:sz w:val="20"/>
        </w:rPr>
        <w:t xml:space="preserve">Figure </w:t>
      </w:r>
      <w:r w:rsidRPr="00DC2B5B">
        <w:rPr>
          <w:rFonts w:ascii="Arial" w:hAnsi="Arial" w:cs="Arial"/>
          <w:b/>
          <w:i w:val="0"/>
          <w:sz w:val="20"/>
        </w:rPr>
        <w:fldChar w:fldCharType="begin"/>
      </w:r>
      <w:r w:rsidRPr="00DC2B5B">
        <w:rPr>
          <w:rFonts w:ascii="Arial" w:hAnsi="Arial" w:cs="Arial"/>
          <w:b/>
          <w:i w:val="0"/>
          <w:sz w:val="20"/>
        </w:rPr>
        <w:instrText xml:space="preserve"> SEQ Figure \* ARABIC </w:instrText>
      </w:r>
      <w:r w:rsidRPr="00DC2B5B">
        <w:rPr>
          <w:rFonts w:ascii="Arial" w:hAnsi="Arial" w:cs="Arial"/>
          <w:b/>
          <w:i w:val="0"/>
          <w:sz w:val="20"/>
        </w:rPr>
        <w:fldChar w:fldCharType="separate"/>
      </w:r>
      <w:r w:rsidR="00EC648C">
        <w:rPr>
          <w:rFonts w:ascii="Arial" w:hAnsi="Arial" w:cs="Arial"/>
          <w:b/>
          <w:i w:val="0"/>
          <w:noProof/>
          <w:sz w:val="20"/>
        </w:rPr>
        <w:t>5</w:t>
      </w:r>
      <w:r w:rsidRPr="00DC2B5B">
        <w:rPr>
          <w:rFonts w:ascii="Arial" w:hAnsi="Arial" w:cs="Arial"/>
          <w:b/>
          <w:i w:val="0"/>
          <w:sz w:val="20"/>
        </w:rPr>
        <w:fldChar w:fldCharType="end"/>
      </w:r>
      <w:r w:rsidRPr="00DC2B5B">
        <w:rPr>
          <w:rFonts w:ascii="Arial" w:hAnsi="Arial" w:cs="Arial"/>
          <w:b/>
          <w:i w:val="0"/>
          <w:sz w:val="20"/>
        </w:rPr>
        <w:t xml:space="preserve"> IAB used to bridge coverage from outdoor to indoor.</w:t>
      </w:r>
    </w:p>
    <w:p w14:paraId="4E1E30BC" w14:textId="77406F17" w:rsidR="00DC2B5B" w:rsidRDefault="00DC2B5B" w:rsidP="00DC2B5B"/>
    <w:p w14:paraId="536239D6" w14:textId="77777777" w:rsidR="00DC2B5B" w:rsidRDefault="00DC2B5B" w:rsidP="00DC2B5B">
      <w:pPr>
        <w:keepNext/>
        <w:jc w:val="center"/>
      </w:pPr>
      <w:r>
        <w:rPr>
          <w:noProof/>
        </w:rPr>
        <w:drawing>
          <wp:inline distT="0" distB="0" distL="0" distR="0" wp14:anchorId="1A50A176" wp14:editId="19EC22E6">
            <wp:extent cx="3894775" cy="253174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verizon-window.jpg"/>
                    <pic:cNvPicPr/>
                  </pic:nvPicPr>
                  <pic:blipFill>
                    <a:blip r:embed="rId17">
                      <a:extLst>
                        <a:ext uri="{28A0092B-C50C-407E-A947-70E740481C1C}">
                          <a14:useLocalDpi xmlns:a14="http://schemas.microsoft.com/office/drawing/2010/main" val="0"/>
                        </a:ext>
                      </a:extLst>
                    </a:blip>
                    <a:stretch>
                      <a:fillRect/>
                    </a:stretch>
                  </pic:blipFill>
                  <pic:spPr>
                    <a:xfrm>
                      <a:off x="0" y="0"/>
                      <a:ext cx="3901453" cy="2536086"/>
                    </a:xfrm>
                    <a:prstGeom prst="rect">
                      <a:avLst/>
                    </a:prstGeom>
                  </pic:spPr>
                </pic:pic>
              </a:graphicData>
            </a:graphic>
          </wp:inline>
        </w:drawing>
      </w:r>
    </w:p>
    <w:p w14:paraId="7DF2BA8A" w14:textId="52D14E4A" w:rsidR="00DC2B5B" w:rsidRPr="00DC2B5B" w:rsidRDefault="00DC2B5B" w:rsidP="00DC2B5B">
      <w:pPr>
        <w:pStyle w:val="Caption"/>
        <w:jc w:val="center"/>
        <w:rPr>
          <w:rFonts w:ascii="Arial" w:hAnsi="Arial" w:cs="Arial"/>
          <w:b/>
          <w:i w:val="0"/>
          <w:sz w:val="20"/>
        </w:rPr>
      </w:pPr>
      <w:r w:rsidRPr="00DC2B5B">
        <w:rPr>
          <w:rFonts w:ascii="Arial" w:hAnsi="Arial" w:cs="Arial"/>
          <w:b/>
          <w:i w:val="0"/>
          <w:sz w:val="20"/>
        </w:rPr>
        <w:t xml:space="preserve">Figure </w:t>
      </w:r>
      <w:r w:rsidRPr="00DC2B5B">
        <w:rPr>
          <w:rFonts w:ascii="Arial" w:hAnsi="Arial" w:cs="Arial"/>
          <w:b/>
          <w:i w:val="0"/>
          <w:sz w:val="20"/>
        </w:rPr>
        <w:fldChar w:fldCharType="begin"/>
      </w:r>
      <w:r w:rsidRPr="00DC2B5B">
        <w:rPr>
          <w:rFonts w:ascii="Arial" w:hAnsi="Arial" w:cs="Arial"/>
          <w:b/>
          <w:i w:val="0"/>
          <w:sz w:val="20"/>
        </w:rPr>
        <w:instrText xml:space="preserve"> SEQ Figure \* ARABIC </w:instrText>
      </w:r>
      <w:r w:rsidRPr="00DC2B5B">
        <w:rPr>
          <w:rFonts w:ascii="Arial" w:hAnsi="Arial" w:cs="Arial"/>
          <w:b/>
          <w:i w:val="0"/>
          <w:sz w:val="20"/>
        </w:rPr>
        <w:fldChar w:fldCharType="separate"/>
      </w:r>
      <w:r w:rsidR="00EC648C">
        <w:rPr>
          <w:rFonts w:ascii="Arial" w:hAnsi="Arial" w:cs="Arial"/>
          <w:b/>
          <w:i w:val="0"/>
          <w:noProof/>
          <w:sz w:val="20"/>
        </w:rPr>
        <w:t>6</w:t>
      </w:r>
      <w:r w:rsidRPr="00DC2B5B">
        <w:rPr>
          <w:rFonts w:ascii="Arial" w:hAnsi="Arial" w:cs="Arial"/>
          <w:b/>
          <w:i w:val="0"/>
          <w:sz w:val="20"/>
        </w:rPr>
        <w:fldChar w:fldCharType="end"/>
      </w:r>
      <w:r w:rsidRPr="00DC2B5B">
        <w:rPr>
          <w:rFonts w:ascii="Arial" w:hAnsi="Arial" w:cs="Arial"/>
          <w:b/>
          <w:i w:val="0"/>
          <w:sz w:val="20"/>
        </w:rPr>
        <w:t xml:space="preserve"> Example construction of a IAB device bridging capacity through a window</w:t>
      </w:r>
    </w:p>
    <w:p w14:paraId="1120BFA3" w14:textId="633A71B1" w:rsidR="005573C6" w:rsidRPr="00CE1280" w:rsidRDefault="005573C6" w:rsidP="005573C6">
      <w:pPr>
        <w:pStyle w:val="Heading2"/>
        <w:rPr>
          <w:lang w:val="en-US"/>
        </w:rPr>
      </w:pPr>
      <w:r w:rsidRPr="00CE1280">
        <w:rPr>
          <w:lang w:val="en-US"/>
        </w:rPr>
        <w:t>2.</w:t>
      </w:r>
      <w:r w:rsidR="00070680">
        <w:rPr>
          <w:lang w:val="en-US"/>
        </w:rPr>
        <w:t>5</w:t>
      </w:r>
      <w:r w:rsidRPr="00CE1280">
        <w:rPr>
          <w:lang w:val="en-US"/>
        </w:rPr>
        <w:tab/>
      </w:r>
      <w:r>
        <w:rPr>
          <w:lang w:val="en-US"/>
        </w:rPr>
        <w:t xml:space="preserve">Group Mobility </w:t>
      </w:r>
      <w:r w:rsidR="002A67B3">
        <w:rPr>
          <w:lang w:val="en-US"/>
        </w:rPr>
        <w:t>(GM)</w:t>
      </w:r>
    </w:p>
    <w:p w14:paraId="3884F67D" w14:textId="144F58AC" w:rsidR="00CD4C7B" w:rsidRPr="00CE1280" w:rsidRDefault="005573C6" w:rsidP="00340E57">
      <w:pPr>
        <w:jc w:val="both"/>
      </w:pPr>
      <w:r>
        <w:t xml:space="preserve">Several </w:t>
      </w:r>
      <w:r w:rsidR="004F071C">
        <w:t>envisioned use cases</w:t>
      </w:r>
      <w:r>
        <w:t xml:space="preserve"> have a group of UEs moving on a common trajectory such as bus or train. This is unique scenario differing from the </w:t>
      </w:r>
      <w:r w:rsidR="00670471">
        <w:t>first</w:t>
      </w:r>
      <w:r>
        <w:t xml:space="preserve"> three scenarios </w:t>
      </w:r>
      <w:r w:rsidR="00670471">
        <w:t xml:space="preserve">as </w:t>
      </w:r>
      <w:r>
        <w:t>the group mobility is the differentiating feature.</w:t>
      </w:r>
      <w:r w:rsidR="00670471">
        <w:t xml:space="preserve">  Management of this mobility</w:t>
      </w:r>
      <w:r w:rsidR="00106867">
        <w:t xml:space="preserve"> within the environment becomes the key constraint as well as addressing the placement of this system.</w:t>
      </w:r>
    </w:p>
    <w:p w14:paraId="5FF0E443" w14:textId="7C9A57B2" w:rsidR="00CD4C7B" w:rsidRPr="00CE1280" w:rsidRDefault="00CD4C7B" w:rsidP="00CD4C7B">
      <w:pPr>
        <w:pStyle w:val="Heading1"/>
        <w:rPr>
          <w:lang w:val="en-US"/>
        </w:rPr>
      </w:pPr>
      <w:r w:rsidRPr="00CE1280">
        <w:rPr>
          <w:lang w:val="en-US"/>
        </w:rPr>
        <w:t>3</w:t>
      </w:r>
      <w:r w:rsidRPr="00CE1280">
        <w:rPr>
          <w:lang w:val="en-US"/>
        </w:rPr>
        <w:tab/>
      </w:r>
      <w:r w:rsidR="00D3438E" w:rsidRPr="00CE1280">
        <w:rPr>
          <w:lang w:val="en-US"/>
        </w:rPr>
        <w:t xml:space="preserve">IAB </w:t>
      </w:r>
      <w:r w:rsidR="00AB4BC9">
        <w:rPr>
          <w:lang w:val="en-US"/>
        </w:rPr>
        <w:t>Node Configuration</w:t>
      </w:r>
    </w:p>
    <w:p w14:paraId="380C074C" w14:textId="43096E70" w:rsidR="00934126" w:rsidRDefault="00EC66C6" w:rsidP="00340E57">
      <w:pPr>
        <w:jc w:val="both"/>
      </w:pPr>
      <w:r>
        <w:t>An IAB node represent</w:t>
      </w:r>
      <w:r w:rsidR="00461712">
        <w:t>s</w:t>
      </w:r>
      <w:r>
        <w:t xml:space="preserve"> a co-located resource providing NR access coverage and backhauling.  </w:t>
      </w:r>
      <w:r w:rsidR="002A67B3">
        <w:t>As such, a</w:t>
      </w:r>
      <w:r w:rsidR="00EC648C">
        <w:t>n</w:t>
      </w:r>
      <w:r w:rsidR="002A67B3">
        <w:t xml:space="preserve"> IAB node may take on both the personality of UE for the transferring backhaul traffic or that of gNB serving connected UEs </w:t>
      </w:r>
      <w:r w:rsidR="005C2335">
        <w:t>and</w:t>
      </w:r>
      <w:r w:rsidR="002A67B3">
        <w:t xml:space="preserve"> forwarding backhaul traffic to the next hop.</w:t>
      </w:r>
    </w:p>
    <w:p w14:paraId="6B54AF7F" w14:textId="546B29BC" w:rsidR="00934126" w:rsidRDefault="00EC66C6" w:rsidP="00340E57">
      <w:pPr>
        <w:pStyle w:val="ListParagraph"/>
        <w:numPr>
          <w:ilvl w:val="0"/>
          <w:numId w:val="5"/>
        </w:numPr>
        <w:jc w:val="both"/>
      </w:pPr>
      <w:r>
        <w:t xml:space="preserve">Like a wired node, IAB node may serve one or more cells in a sectorized site with 3 </w:t>
      </w:r>
      <w:r w:rsidR="00934126">
        <w:t>sectors per site</w:t>
      </w:r>
      <w:r>
        <w:t xml:space="preserve"> for hexagonal la</w:t>
      </w:r>
      <w:r w:rsidR="00934126">
        <w:t>yout and 4 cells per site</w:t>
      </w:r>
      <w:r>
        <w:t xml:space="preserve"> for a</w:t>
      </w:r>
      <w:r w:rsidR="009B53E1">
        <w:t>n</w:t>
      </w:r>
      <w:r>
        <w:t xml:space="preserve"> </w:t>
      </w:r>
      <w:r w:rsidR="00461712">
        <w:t>urban grid</w:t>
      </w:r>
      <w:r>
        <w:t xml:space="preserve">. </w:t>
      </w:r>
    </w:p>
    <w:p w14:paraId="00E73BFD" w14:textId="1136856B" w:rsidR="00F636F1" w:rsidRDefault="00934126" w:rsidP="00340E57">
      <w:pPr>
        <w:pStyle w:val="ListParagraph"/>
        <w:numPr>
          <w:ilvl w:val="0"/>
          <w:numId w:val="5"/>
        </w:numPr>
        <w:jc w:val="both"/>
      </w:pPr>
      <w:r>
        <w:t xml:space="preserve">Each cell (sector) may be configured </w:t>
      </w:r>
      <w:r w:rsidR="00F636F1">
        <w:t>independently</w:t>
      </w:r>
      <w:r>
        <w:t xml:space="preserve"> being used for access or backhaul</w:t>
      </w:r>
      <w:r w:rsidR="00F636F1">
        <w:t xml:space="preserve"> in concurrent slots.</w:t>
      </w:r>
    </w:p>
    <w:p w14:paraId="73A9058D" w14:textId="3E4E3997" w:rsidR="00F636F1" w:rsidRDefault="00F636F1" w:rsidP="00340E57">
      <w:pPr>
        <w:pStyle w:val="ListParagraph"/>
        <w:numPr>
          <w:ilvl w:val="0"/>
          <w:numId w:val="5"/>
        </w:numPr>
        <w:jc w:val="both"/>
      </w:pPr>
      <w:r>
        <w:t>Traffic may be forwarded internally within an IAB node being received in one cell and transmitted in another cell on a subsequent slot.</w:t>
      </w:r>
    </w:p>
    <w:p w14:paraId="4E42E3EF" w14:textId="321D0B26" w:rsidR="00934126" w:rsidRDefault="00F636F1" w:rsidP="00340E57">
      <w:pPr>
        <w:pStyle w:val="ListParagraph"/>
        <w:numPr>
          <w:ilvl w:val="0"/>
          <w:numId w:val="5"/>
        </w:numPr>
        <w:jc w:val="both"/>
      </w:pPr>
      <w:r>
        <w:t>D</w:t>
      </w:r>
      <w:r w:rsidR="00934126">
        <w:t xml:space="preserve">uplex constraints should be </w:t>
      </w:r>
      <w:r>
        <w:t>considered</w:t>
      </w:r>
      <w:r w:rsidR="00934126">
        <w:t xml:space="preserve"> such that transmission and reception of IAB node may be </w:t>
      </w:r>
      <w:r>
        <w:t>coordinated in adjacent sectors when a TDD mode is prescribed</w:t>
      </w:r>
      <w:r w:rsidR="00934126">
        <w:t xml:space="preserve"> </w:t>
      </w:r>
    </w:p>
    <w:p w14:paraId="173FF8C4" w14:textId="49E023BE" w:rsidR="00F636F1" w:rsidRDefault="00F636F1" w:rsidP="00340E57">
      <w:pPr>
        <w:jc w:val="both"/>
      </w:pPr>
      <w:r>
        <w:t>For the purposes of the study item, it may be useful to make some simplifying assumptions depending on the use case:</w:t>
      </w:r>
    </w:p>
    <w:p w14:paraId="36C8043E" w14:textId="5BDEA21E" w:rsidR="00F636F1" w:rsidRDefault="004B69C6" w:rsidP="00340E57">
      <w:pPr>
        <w:pStyle w:val="ListParagraph"/>
        <w:numPr>
          <w:ilvl w:val="0"/>
          <w:numId w:val="5"/>
        </w:numPr>
        <w:jc w:val="both"/>
      </w:pPr>
      <w:r>
        <w:t xml:space="preserve">SFM: </w:t>
      </w:r>
      <w:r w:rsidR="00F636F1">
        <w:t>may assume a homogeneous configuration of IAB and Donor nodes where each are of similar heights, transmit power, antenna configurations and sectorization.</w:t>
      </w:r>
    </w:p>
    <w:p w14:paraId="1C719014" w14:textId="1C3B7A5D" w:rsidR="002A67B3" w:rsidRDefault="004B69C6" w:rsidP="00340E57">
      <w:pPr>
        <w:pStyle w:val="ListParagraph"/>
        <w:numPr>
          <w:ilvl w:val="0"/>
          <w:numId w:val="5"/>
        </w:numPr>
        <w:jc w:val="both"/>
      </w:pPr>
      <w:r>
        <w:lastRenderedPageBreak/>
        <w:t>IGR:</w:t>
      </w:r>
      <w:r w:rsidR="00F636F1">
        <w:t xml:space="preserve"> could also assume a </w:t>
      </w:r>
      <w:r w:rsidR="002A67B3">
        <w:t xml:space="preserve">homogenous configuration where the IAB node is placed to address a specific coverage gap. </w:t>
      </w:r>
      <w:r>
        <w:t>[</w:t>
      </w:r>
      <w:r w:rsidR="00461712">
        <w:t>Alternatively</w:t>
      </w:r>
      <w:r>
        <w:t>, IAB node in this use case could have reduced sectorization]</w:t>
      </w:r>
    </w:p>
    <w:p w14:paraId="0847FB6F" w14:textId="3AC8ACC9" w:rsidR="00F636F1" w:rsidRDefault="004B69C6" w:rsidP="00340E57">
      <w:pPr>
        <w:pStyle w:val="ListParagraph"/>
        <w:numPr>
          <w:ilvl w:val="0"/>
          <w:numId w:val="5"/>
        </w:numPr>
        <w:jc w:val="both"/>
      </w:pPr>
      <w:r>
        <w:t>CE: resembles a heterogenous network deployment where coverage is initially achieved by macro sites and capacity is increased by adding small cells residing within the coverage of the macro</w:t>
      </w:r>
      <w:r w:rsidR="009B53E1">
        <w:t>.</w:t>
      </w:r>
    </w:p>
    <w:p w14:paraId="368A1842" w14:textId="06FE342A" w:rsidR="00E14E38" w:rsidRDefault="004B69C6" w:rsidP="00340E57">
      <w:pPr>
        <w:jc w:val="both"/>
      </w:pPr>
      <w:r>
        <w:t>CB and</w:t>
      </w:r>
      <w:r w:rsidR="00E14E38">
        <w:t xml:space="preserve"> GM are unique scenarios having isolated transceivers residing both indoor and outdoor to the building or vehicle, respectively. It may be sufficient to model the indoor and outdoor aspect separately.  </w:t>
      </w:r>
    </w:p>
    <w:p w14:paraId="71308B0F" w14:textId="5EE898B5" w:rsidR="005C2335" w:rsidRPr="00CE1280" w:rsidRDefault="005C2335" w:rsidP="005C2335">
      <w:pPr>
        <w:pStyle w:val="Heading1"/>
        <w:rPr>
          <w:lang w:val="en-US"/>
        </w:rPr>
      </w:pPr>
      <w:r>
        <w:rPr>
          <w:lang w:val="en-US"/>
        </w:rPr>
        <w:t>4</w:t>
      </w:r>
      <w:r w:rsidRPr="00CE1280">
        <w:rPr>
          <w:lang w:val="en-US"/>
        </w:rPr>
        <w:tab/>
        <w:t xml:space="preserve">IAB </w:t>
      </w:r>
      <w:r>
        <w:rPr>
          <w:lang w:val="en-US"/>
        </w:rPr>
        <w:t>Node Spectrum</w:t>
      </w:r>
    </w:p>
    <w:p w14:paraId="1F3152A0" w14:textId="6123EBE0" w:rsidR="007D7DB1" w:rsidRDefault="00867F22" w:rsidP="00340E57">
      <w:pPr>
        <w:jc w:val="both"/>
      </w:pPr>
      <w:r>
        <w:t xml:space="preserve">The </w:t>
      </w:r>
      <w:r w:rsidR="007D7DB1">
        <w:t>study item objective requires the “operation for both inband and outband relaying” and the workgroup</w:t>
      </w:r>
      <w:r w:rsidR="009B53E1">
        <w:t>s</w:t>
      </w:r>
      <w:r w:rsidR="007D7DB1">
        <w:t xml:space="preserve"> should strive to achieve this end. However, some observations are useful to focus the effort:</w:t>
      </w:r>
    </w:p>
    <w:p w14:paraId="6FF4FC27" w14:textId="729C5FA1" w:rsidR="007D7DB1" w:rsidRDefault="007D7DB1" w:rsidP="00340E57">
      <w:pPr>
        <w:pStyle w:val="ListParagraph"/>
        <w:numPr>
          <w:ilvl w:val="0"/>
          <w:numId w:val="5"/>
        </w:numPr>
        <w:jc w:val="both"/>
      </w:pPr>
      <w:r>
        <w:t>Inband rela</w:t>
      </w:r>
      <w:r w:rsidR="00461712">
        <w:t>y</w:t>
      </w:r>
      <w:r>
        <w:t xml:space="preserve">ing is the most challenging as </w:t>
      </w:r>
      <w:r w:rsidR="00FF0CC5">
        <w:t xml:space="preserve">it </w:t>
      </w:r>
      <w:r>
        <w:t xml:space="preserve">requires the coordination of backhaul and access transmissions on a co-channel deployment.  </w:t>
      </w:r>
      <w:r w:rsidR="000C34D0">
        <w:t>Both the sharing of IAB node transceiver resources and the backhaul to access interference must be considered.</w:t>
      </w:r>
    </w:p>
    <w:p w14:paraId="28F39680" w14:textId="3A1CC831" w:rsidR="007D7DB1" w:rsidRDefault="007D7DB1" w:rsidP="00340E57">
      <w:pPr>
        <w:pStyle w:val="ListParagraph"/>
        <w:numPr>
          <w:ilvl w:val="0"/>
          <w:numId w:val="5"/>
        </w:numPr>
        <w:jc w:val="both"/>
      </w:pPr>
      <w:r>
        <w:t>Outband relaying can</w:t>
      </w:r>
      <w:r w:rsidR="00461712">
        <w:t xml:space="preserve"> be viewed as a special case of</w:t>
      </w:r>
      <w:r>
        <w:t xml:space="preserve"> inband relaying where the access traffic load is zero.  Therefore, identical protocols may be used to support backhaul only </w:t>
      </w:r>
      <w:r w:rsidR="00461712">
        <w:t>traffic on</w:t>
      </w:r>
      <w:r>
        <w:t xml:space="preserve"> a carrier as would be used for shared access and backhaul.</w:t>
      </w:r>
    </w:p>
    <w:p w14:paraId="63EBB24D" w14:textId="7D38D524" w:rsidR="007D7DB1" w:rsidRDefault="007D7DB1" w:rsidP="00340E57">
      <w:pPr>
        <w:pStyle w:val="ListParagraph"/>
        <w:numPr>
          <w:ilvl w:val="0"/>
          <w:numId w:val="5"/>
        </w:numPr>
        <w:jc w:val="both"/>
      </w:pPr>
      <w:r>
        <w:t xml:space="preserve">Higher frequencies </w:t>
      </w:r>
      <w:r w:rsidR="00F0141A">
        <w:t>(</w:t>
      </w:r>
      <w:r>
        <w:t>&gt; 6 GHz</w:t>
      </w:r>
      <w:r w:rsidR="00F0141A">
        <w:t>)</w:t>
      </w:r>
      <w:r>
        <w:t xml:space="preserve"> have in total a greater bandwidth allocation</w:t>
      </w:r>
      <w:r w:rsidR="003A4FAF">
        <w:t xml:space="preserve"> than lower frequencies </w:t>
      </w:r>
      <w:r w:rsidR="00F0141A">
        <w:t>(</w:t>
      </w:r>
      <w:r w:rsidR="003A4FAF">
        <w:t>&lt; 6 GHz</w:t>
      </w:r>
      <w:r w:rsidR="00F0141A">
        <w:t>)</w:t>
      </w:r>
      <w:r w:rsidR="003A4FAF">
        <w:t>, therefore, are promising for carrying both access and backhaul traffic.</w:t>
      </w:r>
      <w:r w:rsidR="007B60C0">
        <w:t xml:space="preserve"> Higher frequencies are more coverage challenged resulting from the reduced diffraction at higher frequencies making relaying more critical.</w:t>
      </w:r>
      <w:r w:rsidR="003A4FAF">
        <w:t xml:space="preserve">  Higher frequencies may also be used to backhaul lower frequencies</w:t>
      </w:r>
      <w:r w:rsidR="00F0141A">
        <w:t>.</w:t>
      </w:r>
    </w:p>
    <w:p w14:paraId="13FB6844" w14:textId="77F0F086" w:rsidR="007B60C0" w:rsidRDefault="007B60C0" w:rsidP="00340E57">
      <w:pPr>
        <w:pStyle w:val="ListParagraph"/>
        <w:numPr>
          <w:ilvl w:val="0"/>
          <w:numId w:val="5"/>
        </w:numPr>
        <w:jc w:val="both"/>
      </w:pPr>
      <w:r>
        <w:t xml:space="preserve">Lower frequencies </w:t>
      </w:r>
      <w:r w:rsidR="00F0141A">
        <w:t>(</w:t>
      </w:r>
      <w:r>
        <w:t>&lt; 6 GHz</w:t>
      </w:r>
      <w:r w:rsidR="00F0141A">
        <w:t>)</w:t>
      </w:r>
      <w:r>
        <w:t xml:space="preserve"> are limited and in high demand for providing access capacity.  Fu</w:t>
      </w:r>
      <w:r w:rsidR="00461712">
        <w:t>r</w:t>
      </w:r>
      <w:r>
        <w:t>thermore, lower frequencies are able to provide good coverage at conventional ISD making inband relay deployment less critical.  Lower frequencies may employ higher frequencies for backhaul.</w:t>
      </w:r>
    </w:p>
    <w:p w14:paraId="74CDDF38" w14:textId="07024AC4" w:rsidR="007B60C0" w:rsidRPr="00CE1280" w:rsidRDefault="007B60C0" w:rsidP="007B60C0">
      <w:pPr>
        <w:pStyle w:val="Heading1"/>
        <w:rPr>
          <w:lang w:val="en-US"/>
        </w:rPr>
      </w:pPr>
      <w:r>
        <w:rPr>
          <w:lang w:val="en-US"/>
        </w:rPr>
        <w:t>5</w:t>
      </w:r>
      <w:r w:rsidRPr="00CE1280">
        <w:rPr>
          <w:lang w:val="en-US"/>
        </w:rPr>
        <w:tab/>
      </w:r>
      <w:r>
        <w:rPr>
          <w:lang w:val="en-US"/>
        </w:rPr>
        <w:t>Summary</w:t>
      </w:r>
    </w:p>
    <w:p w14:paraId="5C2BEB81" w14:textId="0855C203" w:rsidR="007B60C0" w:rsidRDefault="00F0141A" w:rsidP="007B60C0">
      <w:r>
        <w:t>Based on the analysis presented in this paper, the following is proposed:</w:t>
      </w:r>
    </w:p>
    <w:p w14:paraId="06100AF5" w14:textId="6267374D" w:rsidR="000D61ED" w:rsidRDefault="00F0141A" w:rsidP="00340E57">
      <w:pPr>
        <w:rPr>
          <w:b/>
        </w:rPr>
      </w:pPr>
      <w:r>
        <w:rPr>
          <w:b/>
        </w:rPr>
        <w:t>Proposal 1:</w:t>
      </w:r>
      <w:r>
        <w:t xml:space="preserve"> </w:t>
      </w:r>
      <w:r w:rsidR="000D61ED" w:rsidRPr="00340E57">
        <w:rPr>
          <w:b/>
        </w:rPr>
        <w:t xml:space="preserve">Study </w:t>
      </w:r>
      <w:r>
        <w:rPr>
          <w:b/>
        </w:rPr>
        <w:t xml:space="preserve">should consider </w:t>
      </w:r>
      <w:r w:rsidR="000D61ED" w:rsidRPr="00340E57">
        <w:rPr>
          <w:b/>
        </w:rPr>
        <w:t>the use cases based on 5 canonical purposes</w:t>
      </w:r>
      <w:r>
        <w:rPr>
          <w:b/>
        </w:rPr>
        <w:t>:</w:t>
      </w:r>
      <w:r w:rsidR="000D61ED" w:rsidRPr="00340E57">
        <w:rPr>
          <w:b/>
        </w:rPr>
        <w:t xml:space="preserve"> </w:t>
      </w:r>
      <w:r w:rsidR="00EC648C" w:rsidRPr="00340E57">
        <w:rPr>
          <w:b/>
        </w:rPr>
        <w:t>Sparse Fiber Mitigation (</w:t>
      </w:r>
      <w:r w:rsidR="000D61ED" w:rsidRPr="00340E57">
        <w:rPr>
          <w:b/>
        </w:rPr>
        <w:t>SFM</w:t>
      </w:r>
      <w:r w:rsidR="00EC648C" w:rsidRPr="00340E57">
        <w:rPr>
          <w:b/>
        </w:rPr>
        <w:t>)</w:t>
      </w:r>
      <w:r w:rsidR="000D61ED" w:rsidRPr="00340E57">
        <w:rPr>
          <w:b/>
        </w:rPr>
        <w:t xml:space="preserve">, </w:t>
      </w:r>
      <w:r w:rsidR="00EC648C" w:rsidRPr="00340E57">
        <w:rPr>
          <w:b/>
        </w:rPr>
        <w:t>Isolated Gap Remediation (</w:t>
      </w:r>
      <w:r w:rsidR="000D61ED" w:rsidRPr="00340E57">
        <w:rPr>
          <w:b/>
        </w:rPr>
        <w:t>IGR</w:t>
      </w:r>
      <w:r w:rsidR="00340E57" w:rsidRPr="00340E57">
        <w:rPr>
          <w:b/>
        </w:rPr>
        <w:t>), Capacity</w:t>
      </w:r>
      <w:r w:rsidR="00EC648C" w:rsidRPr="00340E57">
        <w:rPr>
          <w:b/>
        </w:rPr>
        <w:t xml:space="preserve"> Enhancements (</w:t>
      </w:r>
      <w:r w:rsidR="000D61ED" w:rsidRPr="00340E57">
        <w:rPr>
          <w:b/>
        </w:rPr>
        <w:t>CE</w:t>
      </w:r>
      <w:r w:rsidR="00EC648C" w:rsidRPr="00340E57">
        <w:rPr>
          <w:b/>
        </w:rPr>
        <w:t>)</w:t>
      </w:r>
      <w:r w:rsidR="000D61ED" w:rsidRPr="00340E57">
        <w:rPr>
          <w:b/>
        </w:rPr>
        <w:t>,</w:t>
      </w:r>
      <w:r w:rsidR="00EC648C" w:rsidRPr="00340E57">
        <w:rPr>
          <w:b/>
        </w:rPr>
        <w:t xml:space="preserve"> Coverage Bridging</w:t>
      </w:r>
      <w:r w:rsidR="000D61ED" w:rsidRPr="00340E57">
        <w:rPr>
          <w:b/>
        </w:rPr>
        <w:t xml:space="preserve"> </w:t>
      </w:r>
      <w:r w:rsidR="00EC648C" w:rsidRPr="00340E57">
        <w:rPr>
          <w:b/>
        </w:rPr>
        <w:t>(</w:t>
      </w:r>
      <w:r w:rsidR="000D61ED" w:rsidRPr="00340E57">
        <w:rPr>
          <w:b/>
        </w:rPr>
        <w:t>CB</w:t>
      </w:r>
      <w:r w:rsidR="00EC648C" w:rsidRPr="00340E57">
        <w:rPr>
          <w:b/>
        </w:rPr>
        <w:t>)</w:t>
      </w:r>
      <w:r w:rsidR="000D61ED" w:rsidRPr="00340E57">
        <w:rPr>
          <w:b/>
        </w:rPr>
        <w:t xml:space="preserve"> and</w:t>
      </w:r>
      <w:r w:rsidR="00EC648C" w:rsidRPr="00340E57">
        <w:rPr>
          <w:b/>
        </w:rPr>
        <w:t xml:space="preserve"> Group Mobility (</w:t>
      </w:r>
      <w:r w:rsidR="000D61ED" w:rsidRPr="00340E57">
        <w:rPr>
          <w:b/>
        </w:rPr>
        <w:t>GM</w:t>
      </w:r>
      <w:r w:rsidR="00EC648C" w:rsidRPr="00340E57">
        <w:rPr>
          <w:b/>
        </w:rPr>
        <w:t>)</w:t>
      </w:r>
      <w:r>
        <w:rPr>
          <w:b/>
        </w:rPr>
        <w:t>. These use cases should be captured in the TR.</w:t>
      </w:r>
    </w:p>
    <w:p w14:paraId="611E6483" w14:textId="1AF8FC94" w:rsidR="004D02C3" w:rsidRDefault="00F0141A" w:rsidP="00340E57">
      <w:pPr>
        <w:rPr>
          <w:b/>
        </w:rPr>
      </w:pPr>
      <w:r w:rsidRPr="00340E57">
        <w:rPr>
          <w:b/>
        </w:rPr>
        <w:t xml:space="preserve">Proposal 2: </w:t>
      </w:r>
      <w:r w:rsidR="000D7262" w:rsidRPr="00340E57">
        <w:rPr>
          <w:b/>
        </w:rPr>
        <w:t>Prioritize SFM and IGR use cases over CE, CB and GM</w:t>
      </w:r>
      <w:r>
        <w:rPr>
          <w:b/>
        </w:rPr>
        <w:t>.</w:t>
      </w:r>
    </w:p>
    <w:p w14:paraId="32EC5611" w14:textId="70A9533A" w:rsidR="000D7262" w:rsidRPr="00340E57" w:rsidRDefault="00F0141A" w:rsidP="00340E57">
      <w:pPr>
        <w:rPr>
          <w:b/>
        </w:rPr>
      </w:pPr>
      <w:r>
        <w:rPr>
          <w:b/>
        </w:rPr>
        <w:t>Proposal 3:</w:t>
      </w:r>
      <w:r>
        <w:t xml:space="preserve"> </w:t>
      </w:r>
      <w:r w:rsidR="000D7262" w:rsidRPr="00340E57">
        <w:rPr>
          <w:b/>
        </w:rPr>
        <w:t xml:space="preserve">Prioritize higher frequency &gt; </w:t>
      </w:r>
      <w:r w:rsidR="009548C5">
        <w:rPr>
          <w:b/>
        </w:rPr>
        <w:t xml:space="preserve">6 </w:t>
      </w:r>
      <w:r w:rsidR="000D7262" w:rsidRPr="00340E57">
        <w:rPr>
          <w:b/>
        </w:rPr>
        <w:t>GHz inband backhaul</w:t>
      </w:r>
      <w:r>
        <w:rPr>
          <w:b/>
        </w:rPr>
        <w:t>.</w:t>
      </w:r>
    </w:p>
    <w:p w14:paraId="06C6485F" w14:textId="6DEB0CA4" w:rsidR="000D7262" w:rsidRPr="00340E57" w:rsidRDefault="00F0141A" w:rsidP="00340E57">
      <w:pPr>
        <w:rPr>
          <w:b/>
        </w:rPr>
      </w:pPr>
      <w:r w:rsidRPr="00340E57">
        <w:rPr>
          <w:b/>
        </w:rPr>
        <w:t xml:space="preserve">Proposal 4: </w:t>
      </w:r>
      <w:r w:rsidR="000D7262" w:rsidRPr="00340E57">
        <w:rPr>
          <w:b/>
        </w:rPr>
        <w:t>Treat outband backhaul as a special case of inband where access has zero UEs</w:t>
      </w:r>
      <w:r w:rsidR="000D61ED" w:rsidRPr="00340E57">
        <w:rPr>
          <w:b/>
        </w:rPr>
        <w:t xml:space="preserve"> connected</w:t>
      </w:r>
      <w:r>
        <w:rPr>
          <w:b/>
        </w:rPr>
        <w:t>.</w:t>
      </w:r>
    </w:p>
    <w:p w14:paraId="0FDCFAC2" w14:textId="77777777" w:rsidR="00CD4C7B" w:rsidRPr="00CE1280" w:rsidRDefault="00CD4C7B" w:rsidP="00CD4C7B">
      <w:pPr>
        <w:pStyle w:val="Heading1"/>
        <w:rPr>
          <w:lang w:val="en-US"/>
        </w:rPr>
      </w:pPr>
      <w:r w:rsidRPr="00CE1280">
        <w:rPr>
          <w:lang w:val="en-US"/>
        </w:rPr>
        <w:t>References</w:t>
      </w:r>
    </w:p>
    <w:p w14:paraId="638CB3AB" w14:textId="026DDA2B" w:rsidR="00340E57" w:rsidRDefault="00FA2132" w:rsidP="00340E57">
      <w:pPr>
        <w:numPr>
          <w:ilvl w:val="0"/>
          <w:numId w:val="4"/>
        </w:numPr>
        <w:overflowPunct w:val="0"/>
        <w:autoSpaceDE w:val="0"/>
        <w:autoSpaceDN w:val="0"/>
        <w:adjustRightInd w:val="0"/>
        <w:textAlignment w:val="baseline"/>
      </w:pPr>
      <w:bookmarkStart w:id="3" w:name="_Ref75086397"/>
      <w:r>
        <w:t xml:space="preserve">RP‑171880, </w:t>
      </w:r>
      <w:r w:rsidR="00340E57" w:rsidRPr="00FA2132">
        <w:rPr>
          <w:i/>
          <w:iCs/>
        </w:rPr>
        <w:t>Updated SID Study on integrated access and backhaul for NR</w:t>
      </w:r>
      <w:r>
        <w:t xml:space="preserve">, </w:t>
      </w:r>
      <w:r w:rsidR="00340E57" w:rsidRPr="00340E57">
        <w:t>Qualcomm</w:t>
      </w:r>
    </w:p>
    <w:bookmarkEnd w:id="3"/>
    <w:p w14:paraId="5524F183" w14:textId="77777777" w:rsidR="00CD4C7B" w:rsidRPr="00CE1280" w:rsidRDefault="00CD4C7B" w:rsidP="00CD4C7B"/>
    <w:p w14:paraId="055200B7" w14:textId="77777777" w:rsidR="00CD4C7B" w:rsidRPr="00CE1280" w:rsidRDefault="00CD4C7B" w:rsidP="00CD4C7B"/>
    <w:p w14:paraId="35F222F4" w14:textId="77777777" w:rsidR="00080512" w:rsidRPr="00CE1280" w:rsidRDefault="00080512" w:rsidP="00CD4C7B"/>
    <w:sectPr w:rsidR="00080512" w:rsidRPr="00CE128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FC3B1" w14:textId="77777777" w:rsidR="006C00D9" w:rsidRDefault="006C00D9">
      <w:r>
        <w:separator/>
      </w:r>
    </w:p>
  </w:endnote>
  <w:endnote w:type="continuationSeparator" w:id="0">
    <w:p w14:paraId="304BF47C" w14:textId="77777777" w:rsidR="006C00D9" w:rsidRDefault="006C00D9">
      <w:r>
        <w:continuationSeparator/>
      </w:r>
    </w:p>
  </w:endnote>
  <w:endnote w:type="continuationNotice" w:id="1">
    <w:p w14:paraId="2983ADD9" w14:textId="77777777" w:rsidR="006C00D9" w:rsidRDefault="006C0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FE683" w14:textId="77777777" w:rsidR="00BE336C" w:rsidRDefault="00BE33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3BB6A" w14:textId="77777777" w:rsidR="006C00D9" w:rsidRDefault="006C00D9">
      <w:r>
        <w:separator/>
      </w:r>
    </w:p>
  </w:footnote>
  <w:footnote w:type="continuationSeparator" w:id="0">
    <w:p w14:paraId="5BD81DA0" w14:textId="77777777" w:rsidR="006C00D9" w:rsidRDefault="006C00D9">
      <w:r>
        <w:continuationSeparator/>
      </w:r>
    </w:p>
  </w:footnote>
  <w:footnote w:type="continuationNotice" w:id="1">
    <w:p w14:paraId="3F7D190E" w14:textId="77777777" w:rsidR="006C00D9" w:rsidRDefault="006C00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D56C5" w14:textId="77777777" w:rsidR="00BE336C" w:rsidRDefault="00BE33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F345046"/>
    <w:multiLevelType w:val="hybridMultilevel"/>
    <w:tmpl w:val="7C044C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2E683E"/>
    <w:multiLevelType w:val="hybridMultilevel"/>
    <w:tmpl w:val="ACD02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7595"/>
    <w:rsid w:val="00033397"/>
    <w:rsid w:val="00040095"/>
    <w:rsid w:val="00045009"/>
    <w:rsid w:val="00070680"/>
    <w:rsid w:val="00080512"/>
    <w:rsid w:val="00090468"/>
    <w:rsid w:val="000920B7"/>
    <w:rsid w:val="000968F4"/>
    <w:rsid w:val="000A7039"/>
    <w:rsid w:val="000B7BCF"/>
    <w:rsid w:val="000C34D0"/>
    <w:rsid w:val="000C522B"/>
    <w:rsid w:val="000D58AB"/>
    <w:rsid w:val="000D61ED"/>
    <w:rsid w:val="000D7262"/>
    <w:rsid w:val="000F3D84"/>
    <w:rsid w:val="00106867"/>
    <w:rsid w:val="001122E7"/>
    <w:rsid w:val="00112F1A"/>
    <w:rsid w:val="00145075"/>
    <w:rsid w:val="00160763"/>
    <w:rsid w:val="001741A0"/>
    <w:rsid w:val="00194CD0"/>
    <w:rsid w:val="001B49C9"/>
    <w:rsid w:val="001D04F6"/>
    <w:rsid w:val="001F168B"/>
    <w:rsid w:val="001F7831"/>
    <w:rsid w:val="00204045"/>
    <w:rsid w:val="0022606D"/>
    <w:rsid w:val="002747EC"/>
    <w:rsid w:val="002855BF"/>
    <w:rsid w:val="00290276"/>
    <w:rsid w:val="002A67B3"/>
    <w:rsid w:val="002F0D22"/>
    <w:rsid w:val="002F2274"/>
    <w:rsid w:val="003172DC"/>
    <w:rsid w:val="00320CA2"/>
    <w:rsid w:val="00326069"/>
    <w:rsid w:val="00340E57"/>
    <w:rsid w:val="0035462D"/>
    <w:rsid w:val="003548A1"/>
    <w:rsid w:val="003A45DF"/>
    <w:rsid w:val="003A4FAF"/>
    <w:rsid w:val="003B40AD"/>
    <w:rsid w:val="003C27AA"/>
    <w:rsid w:val="003C4E37"/>
    <w:rsid w:val="003D4E5C"/>
    <w:rsid w:val="003E16BE"/>
    <w:rsid w:val="003E324E"/>
    <w:rsid w:val="003F2824"/>
    <w:rsid w:val="004006E8"/>
    <w:rsid w:val="0040079E"/>
    <w:rsid w:val="00401855"/>
    <w:rsid w:val="00405CB0"/>
    <w:rsid w:val="00461712"/>
    <w:rsid w:val="00462207"/>
    <w:rsid w:val="00477455"/>
    <w:rsid w:val="00496E15"/>
    <w:rsid w:val="004B69C6"/>
    <w:rsid w:val="004D02C3"/>
    <w:rsid w:val="004D3578"/>
    <w:rsid w:val="004D380D"/>
    <w:rsid w:val="004E213A"/>
    <w:rsid w:val="004E7A44"/>
    <w:rsid w:val="004F071C"/>
    <w:rsid w:val="00503171"/>
    <w:rsid w:val="00506C28"/>
    <w:rsid w:val="00523D48"/>
    <w:rsid w:val="00534DA0"/>
    <w:rsid w:val="00543E6C"/>
    <w:rsid w:val="005573C6"/>
    <w:rsid w:val="00565087"/>
    <w:rsid w:val="0056573F"/>
    <w:rsid w:val="005B4B7F"/>
    <w:rsid w:val="005C2335"/>
    <w:rsid w:val="005C3587"/>
    <w:rsid w:val="005C5719"/>
    <w:rsid w:val="00611566"/>
    <w:rsid w:val="00646D99"/>
    <w:rsid w:val="00656910"/>
    <w:rsid w:val="00670471"/>
    <w:rsid w:val="00681789"/>
    <w:rsid w:val="006B4818"/>
    <w:rsid w:val="006C00D9"/>
    <w:rsid w:val="006C66D8"/>
    <w:rsid w:val="006D1E24"/>
    <w:rsid w:val="006E1417"/>
    <w:rsid w:val="006F6A2C"/>
    <w:rsid w:val="007010B4"/>
    <w:rsid w:val="007047E7"/>
    <w:rsid w:val="00710201"/>
    <w:rsid w:val="00734A5B"/>
    <w:rsid w:val="00744E76"/>
    <w:rsid w:val="0074709C"/>
    <w:rsid w:val="00757D40"/>
    <w:rsid w:val="00781F0F"/>
    <w:rsid w:val="00786399"/>
    <w:rsid w:val="0078727C"/>
    <w:rsid w:val="0079049D"/>
    <w:rsid w:val="007B18D8"/>
    <w:rsid w:val="007B2CD2"/>
    <w:rsid w:val="007B60C0"/>
    <w:rsid w:val="007C095F"/>
    <w:rsid w:val="007D7DB1"/>
    <w:rsid w:val="008028A4"/>
    <w:rsid w:val="00813245"/>
    <w:rsid w:val="00867F22"/>
    <w:rsid w:val="008768CA"/>
    <w:rsid w:val="00877EF9"/>
    <w:rsid w:val="00880559"/>
    <w:rsid w:val="008873A7"/>
    <w:rsid w:val="008A2708"/>
    <w:rsid w:val="008B5306"/>
    <w:rsid w:val="0090271F"/>
    <w:rsid w:val="00902DB9"/>
    <w:rsid w:val="0090466A"/>
    <w:rsid w:val="009127F2"/>
    <w:rsid w:val="00934126"/>
    <w:rsid w:val="00936071"/>
    <w:rsid w:val="00940212"/>
    <w:rsid w:val="00942A91"/>
    <w:rsid w:val="00942EC2"/>
    <w:rsid w:val="009548C5"/>
    <w:rsid w:val="00961B32"/>
    <w:rsid w:val="00962872"/>
    <w:rsid w:val="009652AF"/>
    <w:rsid w:val="00970DB3"/>
    <w:rsid w:val="00972F4C"/>
    <w:rsid w:val="00974BB0"/>
    <w:rsid w:val="0098391D"/>
    <w:rsid w:val="009A0AF3"/>
    <w:rsid w:val="009B07CD"/>
    <w:rsid w:val="009B53E1"/>
    <w:rsid w:val="009C19E9"/>
    <w:rsid w:val="00A00863"/>
    <w:rsid w:val="00A10F02"/>
    <w:rsid w:val="00A204CA"/>
    <w:rsid w:val="00A22988"/>
    <w:rsid w:val="00A53724"/>
    <w:rsid w:val="00A53881"/>
    <w:rsid w:val="00A7179B"/>
    <w:rsid w:val="00A72CFA"/>
    <w:rsid w:val="00A82346"/>
    <w:rsid w:val="00A9671C"/>
    <w:rsid w:val="00AA1553"/>
    <w:rsid w:val="00AA5C89"/>
    <w:rsid w:val="00AB4BC9"/>
    <w:rsid w:val="00AC3F9D"/>
    <w:rsid w:val="00AC7B70"/>
    <w:rsid w:val="00AD668D"/>
    <w:rsid w:val="00B14469"/>
    <w:rsid w:val="00B15449"/>
    <w:rsid w:val="00B24523"/>
    <w:rsid w:val="00B41125"/>
    <w:rsid w:val="00B47FD1"/>
    <w:rsid w:val="00B516BB"/>
    <w:rsid w:val="00B544CB"/>
    <w:rsid w:val="00BA123F"/>
    <w:rsid w:val="00BE336C"/>
    <w:rsid w:val="00BE4FE8"/>
    <w:rsid w:val="00C12B51"/>
    <w:rsid w:val="00C24650"/>
    <w:rsid w:val="00C33079"/>
    <w:rsid w:val="00C83A13"/>
    <w:rsid w:val="00C85E53"/>
    <w:rsid w:val="00C9068C"/>
    <w:rsid w:val="00C92967"/>
    <w:rsid w:val="00CA3D0C"/>
    <w:rsid w:val="00CA654B"/>
    <w:rsid w:val="00CD4C7B"/>
    <w:rsid w:val="00CE1280"/>
    <w:rsid w:val="00CF32B0"/>
    <w:rsid w:val="00D12BE9"/>
    <w:rsid w:val="00D12CD9"/>
    <w:rsid w:val="00D20009"/>
    <w:rsid w:val="00D3438E"/>
    <w:rsid w:val="00D738D6"/>
    <w:rsid w:val="00D80083"/>
    <w:rsid w:val="00D80795"/>
    <w:rsid w:val="00D854BE"/>
    <w:rsid w:val="00D87E00"/>
    <w:rsid w:val="00D9134D"/>
    <w:rsid w:val="00D939D4"/>
    <w:rsid w:val="00D96D11"/>
    <w:rsid w:val="00DA1070"/>
    <w:rsid w:val="00DA1C21"/>
    <w:rsid w:val="00DA42FF"/>
    <w:rsid w:val="00DA7A03"/>
    <w:rsid w:val="00DB1818"/>
    <w:rsid w:val="00DC2B5B"/>
    <w:rsid w:val="00DC309B"/>
    <w:rsid w:val="00DC4DA2"/>
    <w:rsid w:val="00E14E38"/>
    <w:rsid w:val="00E539C3"/>
    <w:rsid w:val="00E62835"/>
    <w:rsid w:val="00E67908"/>
    <w:rsid w:val="00E77645"/>
    <w:rsid w:val="00E83697"/>
    <w:rsid w:val="00E91136"/>
    <w:rsid w:val="00EC4A25"/>
    <w:rsid w:val="00EC648C"/>
    <w:rsid w:val="00EC66C6"/>
    <w:rsid w:val="00F0141A"/>
    <w:rsid w:val="00F025A2"/>
    <w:rsid w:val="00F07388"/>
    <w:rsid w:val="00F2026E"/>
    <w:rsid w:val="00F2210A"/>
    <w:rsid w:val="00F33170"/>
    <w:rsid w:val="00F37743"/>
    <w:rsid w:val="00F54A3D"/>
    <w:rsid w:val="00F54CB0"/>
    <w:rsid w:val="00F636F1"/>
    <w:rsid w:val="00F653B8"/>
    <w:rsid w:val="00F71B89"/>
    <w:rsid w:val="00F7353C"/>
    <w:rsid w:val="00F76F8F"/>
    <w:rsid w:val="00FA1266"/>
    <w:rsid w:val="00FA2132"/>
    <w:rsid w:val="00FB36FA"/>
    <w:rsid w:val="00FC1192"/>
    <w:rsid w:val="00FF0C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934126"/>
    <w:pPr>
      <w:ind w:left="720"/>
      <w:contextualSpacing/>
    </w:pPr>
  </w:style>
  <w:style w:type="paragraph" w:styleId="Caption">
    <w:name w:val="caption"/>
    <w:basedOn w:val="Normal"/>
    <w:next w:val="Normal"/>
    <w:unhideWhenUsed/>
    <w:qFormat/>
    <w:rsid w:val="007B2CD2"/>
    <w:pPr>
      <w:spacing w:after="200"/>
    </w:pPr>
    <w:rPr>
      <w:i/>
      <w:iCs/>
      <w:color w:val="44546A" w:themeColor="text2"/>
      <w:sz w:val="18"/>
      <w:szCs w:val="18"/>
    </w:rPr>
  </w:style>
  <w:style w:type="paragraph" w:styleId="Revision">
    <w:name w:val="Revision"/>
    <w:hidden/>
    <w:uiPriority w:val="99"/>
    <w:semiHidden/>
    <w:rsid w:val="00BE336C"/>
    <w:rPr>
      <w:lang w:val="en-US" w:eastAsia="en-US"/>
    </w:rPr>
  </w:style>
  <w:style w:type="paragraph" w:styleId="BalloonText">
    <w:name w:val="Balloon Text"/>
    <w:basedOn w:val="Normal"/>
    <w:link w:val="BalloonTextChar"/>
    <w:rsid w:val="00BE336C"/>
    <w:pPr>
      <w:spacing w:after="0"/>
    </w:pPr>
    <w:rPr>
      <w:rFonts w:ascii="Segoe UI" w:hAnsi="Segoe UI" w:cs="Segoe UI"/>
      <w:sz w:val="18"/>
      <w:szCs w:val="18"/>
    </w:rPr>
  </w:style>
  <w:style w:type="character" w:customStyle="1" w:styleId="BalloonTextChar">
    <w:name w:val="Balloon Text Char"/>
    <w:basedOn w:val="DefaultParagraphFont"/>
    <w:link w:val="BalloonText"/>
    <w:rsid w:val="00BE336C"/>
    <w:rPr>
      <w:rFonts w:ascii="Segoe UI" w:hAnsi="Segoe UI" w:cs="Segoe UI"/>
      <w:sz w:val="18"/>
      <w:szCs w:val="18"/>
      <w:lang w:val="en-US" w:eastAsia="en-US"/>
    </w:rPr>
  </w:style>
  <w:style w:type="character" w:styleId="CommentReference">
    <w:name w:val="annotation reference"/>
    <w:basedOn w:val="DefaultParagraphFont"/>
    <w:rsid w:val="00AA5C89"/>
    <w:rPr>
      <w:sz w:val="16"/>
      <w:szCs w:val="16"/>
    </w:rPr>
  </w:style>
  <w:style w:type="paragraph" w:styleId="CommentText">
    <w:name w:val="annotation text"/>
    <w:basedOn w:val="Normal"/>
    <w:link w:val="CommentTextChar"/>
    <w:rsid w:val="00AA5C89"/>
  </w:style>
  <w:style w:type="character" w:customStyle="1" w:styleId="CommentTextChar">
    <w:name w:val="Comment Text Char"/>
    <w:basedOn w:val="DefaultParagraphFont"/>
    <w:link w:val="CommentText"/>
    <w:rsid w:val="00AA5C89"/>
    <w:rPr>
      <w:lang w:val="en-US" w:eastAsia="en-US"/>
    </w:rPr>
  </w:style>
  <w:style w:type="paragraph" w:styleId="CommentSubject">
    <w:name w:val="annotation subject"/>
    <w:basedOn w:val="CommentText"/>
    <w:next w:val="CommentText"/>
    <w:link w:val="CommentSubjectChar"/>
    <w:rsid w:val="00AA5C89"/>
    <w:rPr>
      <w:b/>
      <w:bCs/>
    </w:rPr>
  </w:style>
  <w:style w:type="character" w:customStyle="1" w:styleId="CommentSubjectChar">
    <w:name w:val="Comment Subject Char"/>
    <w:basedOn w:val="CommentTextChar"/>
    <w:link w:val="CommentSubject"/>
    <w:rsid w:val="00AA5C8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5AIRPNAIUNRU-859666464-1161</_dlc_DocId>
    <_dlc_DocIdUrl xmlns="71c5aaf6-e6ce-465b-b873-5148d2a4c105">
      <Url>https://nokia.sharepoint.com/sites/c5g/e2earch/_layouts/15/DocIdRedir.aspx?ID=5AIRPNAIUNRU-859666464-1161</Url>
      <Description>5AIRPNAIUNRU-859666464-1161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D4CD4-28E3-44A9-866C-CB0CF1795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4.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5.xml><?xml version="1.0" encoding="utf-8"?>
<ds:datastoreItem xmlns:ds="http://schemas.openxmlformats.org/officeDocument/2006/customXml" ds:itemID="{D2274B45-8021-40F2-AA2F-A127A1C0F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6</Pages>
  <Words>1615</Words>
  <Characters>9206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10800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Cudak, Mark (Nokia - US/Arlington Heights)</dc:creator>
  <cp:lastModifiedBy>Dawid</cp:lastModifiedBy>
  <cp:revision>15</cp:revision>
  <cp:lastPrinted>2018-01-09T16:02:00Z</cp:lastPrinted>
  <dcterms:created xsi:type="dcterms:W3CDTF">2018-01-08T17:26:00Z</dcterms:created>
  <dcterms:modified xsi:type="dcterms:W3CDTF">2018-01-12T07:26:00Z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b7226337-ed3c-4b5b-859e-8c1462cdcaca</vt:lpwstr>
  </property>
</Properties>
</file>